
<file path=[Content_Types].xml><?xml version="1.0" encoding="utf-8"?>
<Types xmlns="http://schemas.openxmlformats.org/package/2006/content-types">
  <Default Extension="xlsx" ContentType="application/vnd.openxmlformats-officedocument.spreadsheetml.sheet"/>
  <Default Extension="xml" ContentType="application/xml"/>
  <Default Extension="bin" ContentType="application/vnd.openxmlformats-officedocument.oleObject"/>
  <Default Extension="png" ContentType="image/png"/>
  <Default Extension="jpeg" ContentType="image/jpeg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charts/chart3.xml" ContentType="application/vnd.openxmlformats-officedocument.drawingml.chart+xml"/>
  <Override PartName="/word/charts/colors8.xml" ContentType="application/vnd.ms-office.chartcolorstyle+xml"/>
  <Override PartName="/word/charts/style6.xml" ContentType="application/vnd.ms-office.chartsty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charts/chart8.xml" ContentType="application/vnd.openxmlformats-officedocument.drawingml.chart+xml"/>
  <Override PartName="/word/charts/colors3.xml" ContentType="application/vnd.ms-office.chartcolorstyle+xml"/>
  <Override PartName="/word/settings.xml" ContentType="application/vnd.openxmlformats-officedocument.wordprocessingml.settings+xml"/>
  <Override PartName="/word/charts/colors5.xml" ContentType="application/vnd.ms-office.chartcolorstyle+xml"/>
  <Override PartName="/word/charts/chart4.xml" ContentType="application/vnd.openxmlformats-officedocument.drawingml.chart+xml"/>
  <Override PartName="/word/charts/colors4.xml" ContentType="application/vnd.ms-office.chartcolorstyle+xml"/>
  <Override PartName="/word/document.xml" ContentType="application/vnd.openxmlformats-officedocument.wordprocessingml.document.main+xml"/>
  <Override PartName="/word/charts/style1.xml" ContentType="application/vnd.ms-office.chartstyle+xml"/>
  <Override PartName="/customXml/itemProps1.xml" ContentType="application/vnd.openxmlformats-officedocument.customXmlProperties+xml"/>
  <Override PartName="/word/charts/style5.xml" ContentType="application/vnd.ms-office.chartsty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charts/style8.xml" ContentType="application/vnd.ms-office.chartstyle+xml"/>
  <Override PartName="/word/charts/chart5.xml" ContentType="application/vnd.openxmlformats-officedocument.drawingml.chart+xml"/>
  <Override PartName="/word/charts/colors6.xml" ContentType="application/vnd.ms-office.chartcolorstyle+xml"/>
  <Override PartName="/docProps/core.xml" ContentType="application/vnd.openxmlformats-package.core-properties+xml"/>
  <Override PartName="/word/charts/chart1.xml" ContentType="application/vnd.openxmlformats-officedocument.drawingml.chart+xml"/>
  <Override PartName="/word/charts/style2.xml" ContentType="application/vnd.ms-office.chartstyle+xml"/>
  <Override PartName="/word/charts/style4.xml" ContentType="application/vnd.ms-office.chartstyle+xml"/>
  <Override PartName="/docProps/custom.xml" ContentType="application/vnd.openxmlformats-officedocument.custom-properties+xml"/>
  <Override PartName="/word/charts/colors2.xml" ContentType="application/vnd.ms-office.chartcolorstyle+xml"/>
  <Override PartName="/word/charts/chart6.xml" ContentType="application/vnd.openxmlformats-officedocument.drawingml.chart+xml"/>
  <Override PartName="/word/charts/colors7.xml" ContentType="application/vnd.ms-office.chartcolorstyle+xml"/>
  <Override PartName="/word/charts/chart7.xml" ContentType="application/vnd.openxmlformats-officedocument.drawingml.chart+xml"/>
  <Override PartName="/word/charts/chart2.xml" ContentType="application/vnd.openxmlformats-officedocument.drawingml.chart+xml"/>
  <Override PartName="/word/charts/style7.xml" ContentType="application/vnd.ms-office.chartstyle+xml"/>
  <Override PartName="/word/charts/style3.xml" ContentType="application/vnd.ms-office.chartstyle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ind w:firstLine="3261"/>
        <w:rPr>
          <w:rFonts w:ascii="Verdana" w:cs="Arial" w:hAnsi="Verdana"/>
          <w:sz w:val="28"/>
          <w:szCs w:val="28"/>
          <w:highlight w:val="yellow"/>
        </w:rPr>
      </w:pPr>
      <w:r>
        <w:rPr>
          <w:rFonts w:ascii="Verdana" w:cs="Arial" w:hAnsi="Verdana"/>
          <w:noProof/>
          <w:sz w:val="28"/>
          <w:szCs w:val="28"/>
          <w:highlight w:val="yellow"/>
          <w:lang w:val="fr-FR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3576320</wp:posOffset>
                </wp:positionH>
                <wp:positionV relativeFrom="paragraph">
                  <wp:posOffset>241934</wp:posOffset>
                </wp:positionV>
                <wp:extent cx="2708777" cy="1607185"/>
                <wp:effectExtent l="0" t="0" r="0" b="0"/>
                <wp:wrapNone/>
                <wp:docPr id="1026" name="Zone de texte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708777" cy="1607185"/>
                        </a:xfrm>
                        <a:prstGeom prst="rect"/>
                        <a:ln>
                          <a:noFill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REPUBLIC OF CAMEROON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Peace –Work – Fatherland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--------------------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MINISTRY OF PUBLIC HEALTH 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--------------------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SECRETARIAT GENERAL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--------------------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      MAROUA REGIONAL HOSPITAL  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                             CENTER 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rPr>
                                <w:rFonts w:ascii="Palatino Linotype" w:eastAsia="Calibri" w:hAnsi="Palatino Linotype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Palatino Linotype" w:eastAsia="Calibri" w:hAnsi="Palatino Linotype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         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rPr>
                                <w:rFonts w:ascii="Palatino Linotype" w:eastAsia="Calibri" w:hAnsi="Palatino Linotype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Palatino Linotype" w:eastAsia="Calibri" w:hAnsi="Palatino Linotype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         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rPr>
                                <w:rFonts w:ascii="Palatino Linotype" w:eastAsia="Calibri" w:hAnsi="Palatino Linotype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Palatino Linotype" w:eastAsia="Calibri" w:hAnsi="Palatino Linotype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         </w:t>
                            </w:r>
                            <w:r>
                              <w:rPr/>
                              <w:fldChar w:fldCharType="begin"/>
                            </w:r>
                            <w:r>
                              <w:instrText xml:space="preserve"> HYPERLINK "mailto:info@chrbafoussam.com" </w:instrText>
                            </w:r>
                            <w:r>
                              <w:rPr/>
                              <w:fldChar w:fldCharType="separate"/>
                            </w:r>
                            <w:r>
                              <w:rPr/>
                              <w:fldChar w:fldCharType="end"/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rPr>
                                <w:rFonts w:ascii="Palatino Linotype" w:eastAsia="Calibri" w:hAnsi="Palatino Linotype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Palatino Linotype" w:eastAsia="Calibri" w:hAnsi="Palatino Linotype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 </w:t>
                            </w:r>
                            <w:r>
                              <w:rPr>
                                <w:rFonts w:ascii="Palatino Linotype" w:eastAsia="Calibri" w:hAnsi="Palatino Linotype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rPr>
                                <w:rFonts w:ascii="Palatino Linotype" w:eastAsia="Calibri" w:hAnsi="Palatino Linotype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>
                            <w:pPr>
                              <w:pStyle w:val="style0"/>
                              <w:spacing w:after="0"/>
                              <w:jc w:val="center"/>
                              <w:rPr>
                                <w:rFonts w:ascii="Arial Rounded MT Bold" w:eastAsia="Calibri" w:hAnsi="Arial Rounded MT Bold"/>
                                <w:sz w:val="18"/>
                                <w:szCs w:val="16"/>
                                <w:lang w:val="en-GB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6" filled="f" stroked="f" style="position:absolute;margin-left:281.6pt;margin-top:19.05pt;width:213.29pt;height:126.55pt;z-index:3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spacing w:after="0" w:lineRule="auto" w:line="240"/>
                        <w:jc w:val="center"/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  <w:lang w:val="en-US"/>
                        </w:rPr>
                        <w:t>REPUBLIC OF CAMEROON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center"/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  <w:lang w:val="en-US"/>
                        </w:rPr>
                        <w:t>Peace –Work – Fatherland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center"/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  <w:lang w:val="en-US"/>
                        </w:rPr>
                        <w:t>--------------------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center"/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  <w:lang w:val="en-US"/>
                        </w:rPr>
                        <w:t xml:space="preserve">MINISTRY OF PUBLIC HEALTH 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center"/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  <w:lang w:val="en-US"/>
                        </w:rPr>
                        <w:t>--------------------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center"/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  <w:lang w:val="en-US"/>
                        </w:rPr>
                        <w:t>SECRETARIAT GENERAL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center"/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  <w:lang w:val="en-US"/>
                        </w:rPr>
                        <w:t>--------------------</w:t>
                      </w:r>
                    </w:p>
                    <w:p>
                      <w:pPr>
                        <w:pStyle w:val="style0"/>
                        <w:spacing w:after="0" w:lineRule="auto" w:line="240"/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  <w:lang w:val="en-US"/>
                        </w:rPr>
                        <w:t xml:space="preserve">       MAROUA REGIONAL HOSPITAL  </w:t>
                      </w:r>
                    </w:p>
                    <w:p>
                      <w:pPr>
                        <w:pStyle w:val="style0"/>
                        <w:spacing w:after="0" w:lineRule="auto" w:line="240"/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  <w:lang w:val="en-US"/>
                        </w:rPr>
                        <w:t xml:space="preserve">                              CENTER </w:t>
                      </w:r>
                    </w:p>
                    <w:p>
                      <w:pPr>
                        <w:pStyle w:val="style0"/>
                        <w:spacing w:after="0" w:lineRule="auto" w:line="240"/>
                        <w:rPr>
                          <w:rFonts w:ascii="Palatino Linotype" w:eastAsia="Calibri" w:hAnsi="Palatino Linotype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Palatino Linotype" w:eastAsia="Calibri" w:hAnsi="Palatino Linotype"/>
                          <w:b/>
                          <w:sz w:val="20"/>
                          <w:szCs w:val="20"/>
                          <w:lang w:val="en-US"/>
                        </w:rPr>
                        <w:t xml:space="preserve">          </w:t>
                      </w:r>
                    </w:p>
                    <w:p>
                      <w:pPr>
                        <w:pStyle w:val="style0"/>
                        <w:spacing w:after="0" w:lineRule="auto" w:line="240"/>
                        <w:rPr>
                          <w:rFonts w:ascii="Palatino Linotype" w:eastAsia="Calibri" w:hAnsi="Palatino Linotype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Palatino Linotype" w:eastAsia="Calibri" w:hAnsi="Palatino Linotype"/>
                          <w:b/>
                          <w:sz w:val="20"/>
                          <w:szCs w:val="20"/>
                          <w:lang w:val="en-US"/>
                        </w:rPr>
                        <w:t xml:space="preserve">          </w:t>
                      </w:r>
                    </w:p>
                    <w:p>
                      <w:pPr>
                        <w:pStyle w:val="style0"/>
                        <w:spacing w:after="0" w:lineRule="auto" w:line="240"/>
                        <w:rPr>
                          <w:rFonts w:ascii="Palatino Linotype" w:eastAsia="Calibri" w:hAnsi="Palatino Linotype"/>
                          <w:b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Palatino Linotype" w:eastAsia="Calibri" w:hAnsi="Palatino Linotype"/>
                          <w:b/>
                          <w:sz w:val="16"/>
                          <w:szCs w:val="16"/>
                          <w:lang w:val="en-US"/>
                        </w:rPr>
                        <w:t xml:space="preserve">          </w:t>
                      </w:r>
                      <w:r>
                        <w:rPr/>
                        <w:fldChar w:fldCharType="begin"/>
                      </w:r>
                      <w:r>
                        <w:instrText xml:space="preserve"> HYPERLINK "mailto:info@chrbafoussam.com" </w:instrText>
                      </w:r>
                      <w:r>
                        <w:rPr/>
                        <w:fldChar w:fldCharType="separate"/>
                      </w:r>
                      <w:r>
                        <w:rPr/>
                        <w:fldChar w:fldCharType="end"/>
                      </w:r>
                    </w:p>
                    <w:p>
                      <w:pPr>
                        <w:pStyle w:val="style0"/>
                        <w:spacing w:after="0" w:lineRule="auto" w:line="240"/>
                        <w:rPr>
                          <w:rFonts w:ascii="Palatino Linotype" w:eastAsia="Calibri" w:hAnsi="Palatino Linotype"/>
                          <w:b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Palatino Linotype" w:eastAsia="Calibri" w:hAnsi="Palatino Linotype"/>
                          <w:b/>
                          <w:sz w:val="16"/>
                          <w:szCs w:val="16"/>
                          <w:lang w:val="en-US"/>
                        </w:rPr>
                        <w:t xml:space="preserve">  </w:t>
                      </w:r>
                      <w:r>
                        <w:rPr>
                          <w:rFonts w:ascii="Palatino Linotype" w:eastAsia="Calibri" w:hAnsi="Palatino Linotype"/>
                          <w:b/>
                          <w:sz w:val="16"/>
                          <w:szCs w:val="16"/>
                          <w:lang w:val="en-US"/>
                        </w:rPr>
                        <w:t xml:space="preserve">        </w:t>
                      </w:r>
                    </w:p>
                    <w:p>
                      <w:pPr>
                        <w:pStyle w:val="style0"/>
                        <w:spacing w:after="0" w:lineRule="auto" w:line="240"/>
                        <w:rPr>
                          <w:rFonts w:ascii="Palatino Linotype" w:eastAsia="Calibri" w:hAnsi="Palatino Linotype"/>
                          <w:b/>
                          <w:sz w:val="16"/>
                          <w:szCs w:val="16"/>
                          <w:lang w:val="en-US"/>
                        </w:rPr>
                      </w:pPr>
                    </w:p>
                    <w:p>
                      <w:pPr>
                        <w:pStyle w:val="style0"/>
                        <w:spacing w:after="0"/>
                        <w:jc w:val="center"/>
                        <w:rPr>
                          <w:rFonts w:ascii="Arial Rounded MT Bold" w:eastAsia="Calibri" w:hAnsi="Arial Rounded MT Bold"/>
                          <w:sz w:val="18"/>
                          <w:szCs w:val="16"/>
                          <w:lang w:val="en-GB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Verdana" w:cs="Arial" w:hAnsi="Verdana"/>
          <w:noProof/>
          <w:sz w:val="28"/>
          <w:szCs w:val="28"/>
          <w:highlight w:val="yellow"/>
          <w:lang w:val="fr-FR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-482600</wp:posOffset>
                </wp:positionH>
                <wp:positionV relativeFrom="paragraph">
                  <wp:posOffset>305435</wp:posOffset>
                </wp:positionV>
                <wp:extent cx="2598620" cy="1626235"/>
                <wp:effectExtent l="0" t="0" r="0" b="0"/>
                <wp:wrapNone/>
                <wp:docPr id="1027" name="Zone de texte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598620" cy="1626235"/>
                        </a:xfrm>
                        <a:prstGeom prst="rect"/>
                        <a:ln>
                          <a:noFill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</w:rPr>
                              <w:t>REPUBLIQUE DU CAMEROUN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</w:rPr>
                              <w:t>Paix – Travail – Patrie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</w:rPr>
                              <w:t>--------------------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</w:rPr>
                              <w:t>MINISTERE DE LA SANTE PUBLIQUE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</w:rPr>
                              <w:t>--------------------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ind w:left="142" w:hanging="284"/>
                              <w:jc w:val="center"/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SECRETARIAT GENERAL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--------------------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rPr>
                                <w:rFonts w:ascii="Arial" w:cs="Arial" w:eastAsia="Calibri" w:hAnsi="Arial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cs="Arial" w:eastAsia="Calibri" w:hAnsi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CENTRE HOSPITALIER REGIONAL MAROUA</w:t>
                            </w:r>
                            <w:r>
                              <w:rPr/>
                              <w:fldChar w:fldCharType="begin"/>
                            </w:r>
                            <w:r>
                              <w:instrText xml:space="preserve"> HYPERLINK "mailto:info@chrbafoussam.com" </w:instrText>
                            </w:r>
                            <w:r>
                              <w:rPr/>
                              <w:fldChar w:fldCharType="separate"/>
                            </w:r>
                            <w:r>
                              <w:rPr/>
                              <w:fldChar w:fldCharType="end"/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7" filled="f" stroked="f" style="position:absolute;margin-left:-38.0pt;margin-top:24.05pt;width:204.62pt;height:128.05pt;z-index:2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spacing w:after="0" w:lineRule="auto" w:line="240"/>
                        <w:jc w:val="center"/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</w:rPr>
                        <w:t>REPUBLIQUE DU CAMEROUN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center"/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</w:rPr>
                        <w:t>Paix – Travail – Patrie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center"/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</w:rPr>
                        <w:t>--------------------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center"/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</w:rPr>
                        <w:t>MINISTERE DE LA SANTE PUBLIQUE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center"/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</w:rPr>
                        <w:t>--------------------</w:t>
                      </w:r>
                    </w:p>
                    <w:p>
                      <w:pPr>
                        <w:pStyle w:val="style0"/>
                        <w:spacing w:after="0" w:lineRule="auto" w:line="240"/>
                        <w:ind w:left="142" w:hanging="284"/>
                        <w:jc w:val="center"/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  <w:lang w:val="en-US"/>
                        </w:rPr>
                        <w:t>SECRETARIAT GENERAL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center"/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  <w:lang w:val="en-US"/>
                        </w:rPr>
                        <w:t>--------------------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center"/>
                        <w:rPr>
                          <w:rFonts w:ascii="Arial" w:cs="Arial" w:eastAsia="Calibri" w:hAnsi="Arial"/>
                          <w:b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cs="Arial" w:eastAsia="Calibri" w:hAnsi="Arial"/>
                          <w:b/>
                          <w:sz w:val="20"/>
                          <w:szCs w:val="20"/>
                          <w:lang w:val="en-US"/>
                        </w:rPr>
                        <w:t>CENTRE HOSPITALIER REGIONAL MAROUA</w:t>
                      </w:r>
                      <w:r>
                        <w:rPr/>
                        <w:fldChar w:fldCharType="begin"/>
                      </w:r>
                      <w:r>
                        <w:instrText xml:space="preserve"> HYPERLINK "mailto:info@chrbafoussam.com" </w:instrText>
                      </w:r>
                      <w:r>
                        <w:rPr/>
                        <w:fldChar w:fldCharType="separate"/>
                      </w:r>
                      <w:r>
                        <w:rPr/>
                        <w:fldChar w:fldCharType="end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Verdana" w:cs="Arial" w:hAnsi="Verdana"/>
          <w:sz w:val="28"/>
          <w:szCs w:val="28"/>
          <w:highlight w:val="yellow"/>
        </w:rPr>
        <w:t xml:space="preserve">  </w:t>
      </w:r>
    </w:p>
    <w:p>
      <w:pPr>
        <w:pStyle w:val="style0"/>
        <w:ind w:firstLine="3686"/>
        <w:rPr>
          <w:rFonts w:ascii="Verdana" w:cs="Arial" w:hAnsi="Verdana"/>
          <w:sz w:val="28"/>
          <w:szCs w:val="28"/>
          <w:highlight w:val="yellow"/>
        </w:rPr>
      </w:pPr>
      <w:r>
        <w:rPr>
          <w:rFonts w:ascii="Verdana" w:cs="Arial" w:hAnsi="Verdana"/>
          <w:noProof/>
          <w:sz w:val="28"/>
          <w:szCs w:val="28"/>
          <w:highlight w:val="yellow"/>
          <w:lang w:val="fr-FR"/>
          <w14:ligatures xmlns:w14="http://schemas.microsoft.com/office/word/2010/wordml" w14:val="standardContextual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page">
                  <wp:posOffset>3006422</wp:posOffset>
                </wp:positionH>
                <wp:positionV relativeFrom="page">
                  <wp:posOffset>1585702</wp:posOffset>
                </wp:positionV>
                <wp:extent cx="1973356" cy="588084"/>
                <wp:effectExtent l="0" t="0" r="27305" b="21590"/>
                <wp:wrapNone/>
                <wp:docPr id="1028" name="Zone de texte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973356" cy="588084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rPr>
                                <w:rFonts w:ascii="Arial" w:cs="Arial" w:eastAsia="Calibri" w:hAnsi="Arial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cs="Arial" w:eastAsia="Calibri" w:hAnsi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>B.P/ P.O. BOX: 404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rPr>
                                <w:rFonts w:ascii="Arial" w:cs="Arial" w:eastAsia="Calibri" w:hAnsi="Arial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cs="Arial" w:eastAsia="Calibri" w:hAnsi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Mail: 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rPr>
                                <w:rFonts w:ascii="Arial" w:cs="Arial" w:eastAsia="Calibri" w:hAnsi="Arial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cs="Arial" w:eastAsia="Calibri" w:hAnsi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>Web: https://chr-maroua.cm</w:t>
                            </w:r>
                          </w:p>
                          <w:p>
                            <w:pPr>
                              <w:pStyle w:val="style0"/>
                              <w:jc w:val="both"/>
                              <w:rPr>
                                <w:rFonts w:ascii="Verdana" w:cs="Arial" w:hAnsi="Verdana"/>
                                <w:b/>
                                <w:sz w:val="16"/>
                                <w:szCs w:val="16"/>
                                <w:highlight w:val="yellow"/>
                              </w:rPr>
                            </w:pPr>
                            <w:r>
                              <w:rPr>
                                <w:rFonts w:ascii="Palatino Linotype" w:eastAsia="Calibri" w:hAnsi="Palatino Linotype"/>
                                <w:b/>
                                <w:sz w:val="16"/>
                                <w:szCs w:val="16"/>
                              </w:rPr>
                              <w:t xml:space="preserve">Tél. : </w:t>
                            </w:r>
                            <w:r>
                              <w:rPr>
                                <w:rFonts w:ascii="Arial" w:cs="Arial" w:eastAsia="Calibri" w:hAnsi="Arial"/>
                                <w:b/>
                                <w:sz w:val="16"/>
                                <w:szCs w:val="16"/>
                              </w:rPr>
                              <w:t>689</w:t>
                            </w:r>
                            <w:r>
                              <w:rPr>
                                <w:rFonts w:ascii="Arial" w:cs="Arial" w:eastAsia="Calibri" w:hAnsi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 w:eastAsia="Calibri" w:hAnsi="Arial"/>
                                <w:b/>
                                <w:sz w:val="16"/>
                                <w:szCs w:val="16"/>
                              </w:rPr>
                              <w:t>86</w:t>
                            </w:r>
                            <w:r>
                              <w:rPr>
                                <w:rFonts w:ascii="Arial" w:cs="Arial" w:eastAsia="Calibri" w:hAnsi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 w:eastAsia="Calibri" w:hAnsi="Arial"/>
                                <w:b/>
                                <w:sz w:val="16"/>
                                <w:szCs w:val="16"/>
                              </w:rPr>
                              <w:t>72</w:t>
                            </w:r>
                            <w:r>
                              <w:rPr>
                                <w:rFonts w:ascii="Arial" w:cs="Arial" w:eastAsia="Calibri" w:hAnsi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 w:eastAsia="Calibri" w:hAnsi="Arial"/>
                                <w:b/>
                                <w:sz w:val="16"/>
                                <w:szCs w:val="16"/>
                              </w:rPr>
                              <w:t>06</w:t>
                            </w:r>
                            <w:r>
                              <w:rPr>
                                <w:rFonts w:ascii="Arial" w:cs="Arial" w:eastAsia="Calibri" w:hAnsi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 w:hAnsi="Arial"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rFonts w:ascii="Arial" w:cs="Arial" w:hAnsi="Arial"/>
                                <w:sz w:val="16"/>
                                <w:szCs w:val="16"/>
                              </w:rPr>
                              <w:t xml:space="preserve">// </w:t>
                            </w:r>
                            <w:r>
                              <w:rPr>
                                <w:rFonts w:ascii="Arial" w:cs="Arial" w:hAnsi="Arial"/>
                                <w:b/>
                                <w:bCs/>
                                <w:sz w:val="16"/>
                                <w:szCs w:val="16"/>
                              </w:rPr>
                              <w:t>671 44 04 86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8" fillcolor="white" stroked="t" style="position:absolute;margin-left:236.73pt;margin-top:124.86pt;width:155.38pt;height:46.31pt;z-index:4;mso-position-horizontal-relative:page;mso-position-vertical-relative:page;mso-width-percent:0;mso-height-percent:0;mso-width-relative:margin;mso-height-relative:margin;mso-wrap-distance-left:0.0pt;mso-wrap-distance-right:0.0pt;visibility:visible;">
                <v:stroke color="white" weight="0.5pt"/>
                <v:fill/>
                <v:textbox inset="7.2pt,3.6pt,7.2pt,3.6pt">
                  <w:txbxContent>
                    <w:p>
                      <w:pPr>
                        <w:pStyle w:val="style0"/>
                        <w:spacing w:after="0" w:lineRule="auto" w:line="240"/>
                        <w:rPr>
                          <w:rFonts w:ascii="Arial" w:cs="Arial" w:eastAsia="Calibri" w:hAnsi="Arial"/>
                          <w:b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cs="Arial" w:eastAsia="Calibri" w:hAnsi="Arial"/>
                          <w:b/>
                          <w:sz w:val="16"/>
                          <w:szCs w:val="16"/>
                          <w:lang w:val="en-US"/>
                        </w:rPr>
                        <w:t>B.P/ P.O. BOX: 404</w:t>
                      </w:r>
                    </w:p>
                    <w:p>
                      <w:pPr>
                        <w:pStyle w:val="style0"/>
                        <w:spacing w:after="0" w:lineRule="auto" w:line="240"/>
                        <w:rPr>
                          <w:rFonts w:ascii="Arial" w:cs="Arial" w:eastAsia="Calibri" w:hAnsi="Arial"/>
                          <w:b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cs="Arial" w:eastAsia="Calibri" w:hAnsi="Arial"/>
                          <w:b/>
                          <w:sz w:val="16"/>
                          <w:szCs w:val="16"/>
                          <w:lang w:val="en-US"/>
                        </w:rPr>
                        <w:t xml:space="preserve">Mail: </w:t>
                      </w:r>
                    </w:p>
                    <w:p>
                      <w:pPr>
                        <w:pStyle w:val="style0"/>
                        <w:spacing w:after="0" w:lineRule="auto" w:line="240"/>
                        <w:rPr>
                          <w:rFonts w:ascii="Arial" w:cs="Arial" w:eastAsia="Calibri" w:hAnsi="Arial"/>
                          <w:b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cs="Arial" w:eastAsia="Calibri" w:hAnsi="Arial"/>
                          <w:b/>
                          <w:sz w:val="16"/>
                          <w:szCs w:val="16"/>
                          <w:lang w:val="en-US"/>
                        </w:rPr>
                        <w:t>Web: https://chr-maroua.cm</w:t>
                      </w:r>
                    </w:p>
                    <w:p>
                      <w:pPr>
                        <w:pStyle w:val="style0"/>
                        <w:jc w:val="both"/>
                        <w:rPr>
                          <w:rFonts w:ascii="Verdana" w:cs="Arial" w:hAnsi="Verdana"/>
                          <w:b/>
                          <w:sz w:val="16"/>
                          <w:szCs w:val="16"/>
                          <w:highlight w:val="yellow"/>
                        </w:rPr>
                      </w:pPr>
                      <w:r>
                        <w:rPr>
                          <w:rFonts w:ascii="Palatino Linotype" w:eastAsia="Calibri" w:hAnsi="Palatino Linotype"/>
                          <w:b/>
                          <w:sz w:val="16"/>
                          <w:szCs w:val="16"/>
                        </w:rPr>
                        <w:t xml:space="preserve">Tél. : </w:t>
                      </w:r>
                      <w:r>
                        <w:rPr>
                          <w:rFonts w:ascii="Arial" w:cs="Arial" w:eastAsia="Calibri" w:hAnsi="Arial"/>
                          <w:b/>
                          <w:sz w:val="16"/>
                          <w:szCs w:val="16"/>
                        </w:rPr>
                        <w:t>689</w:t>
                      </w:r>
                      <w:r>
                        <w:rPr>
                          <w:rFonts w:ascii="Arial" w:cs="Arial" w:eastAsia="Calibri" w:hAnsi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cs="Arial" w:eastAsia="Calibri" w:hAnsi="Arial"/>
                          <w:b/>
                          <w:sz w:val="16"/>
                          <w:szCs w:val="16"/>
                        </w:rPr>
                        <w:t>86</w:t>
                      </w:r>
                      <w:r>
                        <w:rPr>
                          <w:rFonts w:ascii="Arial" w:cs="Arial" w:eastAsia="Calibri" w:hAnsi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cs="Arial" w:eastAsia="Calibri" w:hAnsi="Arial"/>
                          <w:b/>
                          <w:sz w:val="16"/>
                          <w:szCs w:val="16"/>
                        </w:rPr>
                        <w:t>72</w:t>
                      </w:r>
                      <w:r>
                        <w:rPr>
                          <w:rFonts w:ascii="Arial" w:cs="Arial" w:eastAsia="Calibri" w:hAnsi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cs="Arial" w:eastAsia="Calibri" w:hAnsi="Arial"/>
                          <w:b/>
                          <w:sz w:val="16"/>
                          <w:szCs w:val="16"/>
                        </w:rPr>
                        <w:t>06</w:t>
                      </w:r>
                      <w:r>
                        <w:rPr>
                          <w:rFonts w:ascii="Arial" w:cs="Arial" w:eastAsia="Calibri" w:hAnsi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cs="Arial" w:hAnsi="Arial"/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rFonts w:ascii="Arial" w:cs="Arial" w:hAnsi="Arial"/>
                          <w:sz w:val="16"/>
                          <w:szCs w:val="16"/>
                        </w:rPr>
                        <w:t xml:space="preserve">// </w:t>
                      </w:r>
                      <w:r>
                        <w:rPr>
                          <w:rFonts w:ascii="Arial" w:cs="Arial" w:hAnsi="Arial"/>
                          <w:b/>
                          <w:bCs/>
                          <w:sz w:val="16"/>
                          <w:szCs w:val="16"/>
                        </w:rPr>
                        <w:t>671 44 04 86</w:t>
                      </w:r>
                    </w:p>
                    <w:p>
                      <w:pPr>
                        <w:pStyle w:val="style0"/>
                        <w:spacing w:after="0" w:lineRule="auto" w:line="24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Verdana" w:cs="Arial" w:hAnsi="Verdana"/>
          <w:noProof/>
          <w:sz w:val="28"/>
          <w:szCs w:val="28"/>
          <w:lang w:val="fr-FR"/>
        </w:rPr>
        <w:drawing>
          <wp:inline distL="0" distT="0" distB="0" distR="0">
            <wp:extent cx="1163955" cy="1155700"/>
            <wp:effectExtent l="0" t="0" r="0" b="6350"/>
            <wp:docPr id="1029" name="Imag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63955" cy="11557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after="0" w:lineRule="auto" w:line="240"/>
        <w:rPr>
          <w:rFonts w:ascii="Verdana" w:cs="Arial" w:hAnsi="Verdana"/>
          <w:sz w:val="28"/>
          <w:szCs w:val="28"/>
          <w:highlight w:val="yellow"/>
        </w:rPr>
      </w:pPr>
      <w:r>
        <w:rPr>
          <w:rFonts w:ascii="Verdana" w:cs="Arial" w:hAnsi="Verdana"/>
          <w:sz w:val="28"/>
          <w:szCs w:val="28"/>
          <w:highlight w:val="yellow"/>
        </w:rPr>
        <w:t xml:space="preserve">      </w:t>
      </w:r>
    </w:p>
    <w:p>
      <w:pPr>
        <w:pStyle w:val="style0"/>
        <w:tabs>
          <w:tab w:val="left" w:leader="none" w:pos="2238"/>
        </w:tabs>
        <w:spacing w:after="0" w:lineRule="auto" w:line="240"/>
        <w:rPr>
          <w:rFonts w:ascii="Verdana" w:cs="Arial" w:hAnsi="Verdana"/>
          <w:bCs/>
          <w:sz w:val="28"/>
          <w:szCs w:val="28"/>
          <w:highlight w:val="yellow"/>
        </w:rPr>
      </w:pPr>
    </w:p>
    <w:p>
      <w:pPr>
        <w:pStyle w:val="style0"/>
        <w:tabs>
          <w:tab w:val="left" w:leader="none" w:pos="2238"/>
        </w:tabs>
        <w:spacing w:after="0" w:lineRule="auto" w:line="240"/>
        <w:rPr>
          <w:rFonts w:ascii="Verdana" w:cs="Arial" w:hAnsi="Verdana"/>
          <w:bCs/>
          <w:sz w:val="28"/>
          <w:szCs w:val="28"/>
          <w:highlight w:val="yellow"/>
        </w:rPr>
      </w:pPr>
      <w:r>
        <w:rPr>
          <w:rFonts w:ascii="Verdana" w:cs="Arial" w:hAnsi="Verdana"/>
          <w:b/>
          <w:bCs/>
          <w:noProof/>
          <w:sz w:val="28"/>
          <w:szCs w:val="28"/>
          <w:u w:val="single"/>
          <w:lang w:val="fr-FR"/>
        </w:rPr>
        <w:drawing>
          <wp:anchor distT="0" distB="0" distL="0" distR="0" simplePos="false" relativeHeight="20" behindDoc="false" locked="false" layoutInCell="true" allowOverlap="true">
            <wp:simplePos x="0" y="0"/>
            <wp:positionH relativeFrom="margin">
              <wp:posOffset>697066</wp:posOffset>
            </wp:positionH>
            <wp:positionV relativeFrom="paragraph">
              <wp:posOffset>4941</wp:posOffset>
            </wp:positionV>
            <wp:extent cx="4806315" cy="2133882"/>
            <wp:effectExtent l="0" t="0" r="0" b="0"/>
            <wp:wrapNone/>
            <wp:docPr id="1030" name="Picture 12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26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806315" cy="213388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spacing w:after="0" w:lineRule="auto" w:line="240"/>
        <w:jc w:val="center"/>
        <w:rPr>
          <w:rFonts w:ascii="Verdana" w:cs="Arial" w:hAnsi="Verdana"/>
          <w:b/>
          <w:bCs/>
          <w:sz w:val="28"/>
          <w:szCs w:val="28"/>
          <w:u w:val="single"/>
        </w:rPr>
      </w:pPr>
    </w:p>
    <w:p>
      <w:pPr>
        <w:pStyle w:val="style0"/>
        <w:spacing w:after="0" w:lineRule="auto" w:line="240"/>
        <w:jc w:val="center"/>
        <w:rPr>
          <w:rFonts w:ascii="Verdana" w:cs="Arial" w:hAnsi="Verdana"/>
          <w:b/>
          <w:bCs/>
          <w:sz w:val="28"/>
          <w:szCs w:val="28"/>
          <w:u w:val="single"/>
        </w:rPr>
      </w:pPr>
    </w:p>
    <w:p>
      <w:pPr>
        <w:pStyle w:val="style0"/>
        <w:spacing w:after="0" w:lineRule="auto" w:line="240"/>
        <w:jc w:val="center"/>
        <w:rPr>
          <w:rFonts w:ascii="Verdana" w:cs="Arial" w:hAnsi="Verdana"/>
          <w:b/>
          <w:bCs/>
          <w:sz w:val="28"/>
          <w:szCs w:val="28"/>
          <w:u w:val="single"/>
        </w:rPr>
      </w:pPr>
    </w:p>
    <w:p>
      <w:pPr>
        <w:pStyle w:val="style0"/>
        <w:spacing w:after="0" w:lineRule="auto" w:line="240"/>
        <w:jc w:val="center"/>
        <w:rPr>
          <w:rFonts w:ascii="Verdana" w:cs="Arial" w:hAnsi="Verdana"/>
          <w:b/>
          <w:bCs/>
          <w:sz w:val="28"/>
          <w:szCs w:val="28"/>
          <w:u w:val="single"/>
        </w:rPr>
      </w:pPr>
    </w:p>
    <w:p>
      <w:pPr>
        <w:pStyle w:val="style0"/>
        <w:spacing w:after="0" w:lineRule="auto" w:line="240"/>
        <w:jc w:val="center"/>
        <w:rPr>
          <w:rFonts w:ascii="Verdana" w:cs="Arial" w:hAnsi="Verdana"/>
          <w:b/>
          <w:bCs/>
          <w:sz w:val="28"/>
          <w:szCs w:val="28"/>
          <w:u w:val="single"/>
        </w:rPr>
      </w:pPr>
    </w:p>
    <w:p>
      <w:pPr>
        <w:pStyle w:val="style0"/>
        <w:spacing w:after="0" w:lineRule="auto" w:line="240"/>
        <w:jc w:val="center"/>
        <w:rPr>
          <w:rFonts w:ascii="Verdana" w:cs="Arial" w:hAnsi="Verdana"/>
          <w:b/>
          <w:bCs/>
          <w:sz w:val="28"/>
          <w:szCs w:val="28"/>
          <w:u w:val="single"/>
        </w:rPr>
      </w:pPr>
    </w:p>
    <w:p>
      <w:pPr>
        <w:pStyle w:val="style0"/>
        <w:spacing w:after="0" w:lineRule="auto" w:line="240"/>
        <w:jc w:val="center"/>
        <w:rPr>
          <w:rFonts w:ascii="Verdana" w:cs="Arial" w:hAnsi="Verdana"/>
          <w:b/>
          <w:bCs/>
          <w:sz w:val="28"/>
          <w:szCs w:val="28"/>
          <w:u w:val="single"/>
        </w:rPr>
      </w:pPr>
    </w:p>
    <w:p>
      <w:pPr>
        <w:pStyle w:val="style0"/>
        <w:spacing w:after="0" w:lineRule="auto" w:line="240"/>
        <w:rPr>
          <w:rFonts w:ascii="Verdana" w:cs="Arial" w:hAnsi="Verdana"/>
          <w:b/>
          <w:bCs/>
          <w:sz w:val="28"/>
          <w:szCs w:val="28"/>
          <w:highlight w:val="yellow"/>
          <w:u w:val="single"/>
        </w:rPr>
      </w:pPr>
    </w:p>
    <w:p>
      <w:pPr>
        <w:pStyle w:val="style0"/>
        <w:jc w:val="center"/>
        <w:rPr>
          <w:rFonts w:ascii="Verdana" w:cs="Arial" w:hAnsi="Verdana"/>
          <w:sz w:val="28"/>
          <w:szCs w:val="28"/>
          <w:highlight w:val="yellow"/>
        </w:rPr>
      </w:pPr>
      <w:r>
        <w:rPr>
          <w:rFonts w:ascii="Verdana" w:cs="Calibri" w:eastAsia="Times New Roman" w:hAnsi="Verdana"/>
          <w:b/>
          <w:bCs/>
          <w:noProof/>
          <w:color w:val="ffffff"/>
          <w:sz w:val="32"/>
          <w:szCs w:val="32"/>
          <w:lang w:val="fr-FR"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81915</wp:posOffset>
                </wp:positionH>
                <wp:positionV relativeFrom="paragraph">
                  <wp:posOffset>277495</wp:posOffset>
                </wp:positionV>
                <wp:extent cx="6134100" cy="1247775"/>
                <wp:effectExtent l="0" t="0" r="19050" b="28575"/>
                <wp:wrapNone/>
                <wp:docPr id="1031" name="Zone de texte 2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134100" cy="1247775"/>
                        </a:xfrm>
                        <a:prstGeom prst="rect"/>
                        <a:solidFill>
                          <a:srgbClr val="70ad47"/>
                        </a:solidFill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  <w:t>CENTRE HOSPITALIER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  <w:t>REGIONAL DE MAROUA</w:t>
                            </w:r>
                          </w:p>
                          <w:p>
                            <w:pPr>
                              <w:pStyle w:val="style0"/>
                              <w:spacing w:after="0" w:lineRule="auto" w:line="240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  <w:t>RAPPORT TECHNIQUE 2025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1" fillcolor="#70ad47" stroked="t" style="position:absolute;margin-left:6.45pt;margin-top:21.85pt;width:483.0pt;height:98.25pt;z-index:21;mso-position-horizontal-relative:text;mso-position-vertical-relative:text;mso-height-percent:0;mso-width-relative:page;mso-height-relative:margin;mso-wrap-distance-left:0.0pt;mso-wrap-distance-right:0.0pt;visibility:visible;">
                <v:stroke weight="0.5pt"/>
                <v:fill/>
                <v:textbox inset="7.2pt,3.6pt,7.2pt,3.6pt">
                  <w:txbxContent>
                    <w:p>
                      <w:pPr>
                        <w:pStyle w:val="style0"/>
                        <w:spacing w:after="0" w:lineRule="auto" w:line="240"/>
                        <w:jc w:val="center"/>
                        <w:rPr>
                          <w:rFonts w:ascii="Verdana" w:hAnsi="Verdana"/>
                          <w:b/>
                          <w:bCs/>
                          <w:color w:val="ffffff"/>
                          <w:sz w:val="48"/>
                          <w:szCs w:val="48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color w:val="ffffff"/>
                          <w:sz w:val="48"/>
                          <w:szCs w:val="48"/>
                        </w:rPr>
                        <w:t>CENTRE HOSPITALIER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center"/>
                        <w:rPr>
                          <w:rFonts w:ascii="Verdana" w:hAnsi="Verdana"/>
                          <w:b/>
                          <w:bCs/>
                          <w:color w:val="ffffff"/>
                          <w:sz w:val="48"/>
                          <w:szCs w:val="48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color w:val="ffffff"/>
                          <w:sz w:val="48"/>
                          <w:szCs w:val="48"/>
                        </w:rPr>
                        <w:t>REGIONAL DE MAROUA</w:t>
                      </w:r>
                    </w:p>
                    <w:p>
                      <w:pPr>
                        <w:pStyle w:val="style0"/>
                        <w:spacing w:after="0" w:lineRule="auto" w:line="240"/>
                        <w:jc w:val="center"/>
                        <w:rPr>
                          <w:rFonts w:ascii="Verdana" w:hAnsi="Verdana"/>
                          <w:b/>
                          <w:bCs/>
                          <w:color w:val="ffffff"/>
                          <w:sz w:val="48"/>
                          <w:szCs w:val="48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color w:val="ffffff"/>
                          <w:sz w:val="48"/>
                          <w:szCs w:val="48"/>
                        </w:rPr>
                        <w:t>RAPPORT TECHNIQUE 2025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spacing w:after="0" w:lineRule="auto" w:line="240"/>
        <w:rPr>
          <w:rFonts w:ascii="Verdana" w:cs="Calibri" w:eastAsia="Times New Roman" w:hAnsi="Verdana"/>
          <w:b/>
          <w:bCs/>
          <w:sz w:val="32"/>
          <w:szCs w:val="32"/>
          <w:lang w:val="fr-FR"/>
        </w:rPr>
      </w:pPr>
      <w:r>
        <w:rPr>
          <w:rFonts w:ascii="Verdana" w:cs="Calibri" w:eastAsia="Times New Roman" w:hAnsi="Verdana"/>
          <w:b/>
          <w:bCs/>
          <w:color w:val="ffffff"/>
          <w:sz w:val="32"/>
          <w:szCs w:val="32"/>
          <w:lang w:val="fr-FR"/>
        </w:rPr>
        <w:t>C3N</w:t>
      </w:r>
    </w:p>
    <w:p>
      <w:pPr>
        <w:pStyle w:val="style0"/>
        <w:spacing w:after="0" w:lineRule="auto" w:line="240"/>
        <w:rPr>
          <w:rFonts w:ascii="Verdana" w:cs="Arial" w:hAnsi="Verdana"/>
          <w:b/>
          <w:bCs/>
          <w:sz w:val="24"/>
          <w:szCs w:val="24"/>
          <w:u w:val="single"/>
        </w:rPr>
      </w:pPr>
    </w:p>
    <w:p>
      <w:pPr>
        <w:pStyle w:val="style0"/>
        <w:spacing w:after="0" w:lineRule="auto" w:line="240"/>
        <w:rPr>
          <w:rFonts w:ascii="Verdana" w:cs="Arial" w:hAnsi="Verdana"/>
          <w:b/>
          <w:bCs/>
          <w:sz w:val="24"/>
          <w:szCs w:val="24"/>
          <w:u w:val="single"/>
        </w:rPr>
      </w:pPr>
    </w:p>
    <w:p>
      <w:pPr>
        <w:pStyle w:val="style0"/>
        <w:spacing w:after="0" w:lineRule="auto" w:line="240"/>
        <w:rPr>
          <w:rFonts w:ascii="Verdana" w:cs="Arial" w:hAnsi="Verdana"/>
          <w:b/>
          <w:bCs/>
          <w:sz w:val="24"/>
          <w:szCs w:val="24"/>
          <w:u w:val="single"/>
        </w:rPr>
      </w:pPr>
    </w:p>
    <w:p>
      <w:pPr>
        <w:pStyle w:val="style0"/>
        <w:spacing w:after="0" w:lineRule="auto" w:line="240"/>
        <w:rPr>
          <w:rFonts w:ascii="Verdana" w:cs="Arial" w:hAnsi="Verdana"/>
          <w:b/>
          <w:bCs/>
          <w:sz w:val="24"/>
          <w:szCs w:val="24"/>
          <w:u w:val="single"/>
        </w:rPr>
      </w:pPr>
    </w:p>
    <w:p>
      <w:pPr>
        <w:pStyle w:val="style0"/>
        <w:spacing w:after="0" w:lineRule="auto" w:line="240"/>
        <w:rPr>
          <w:rFonts w:ascii="Verdana" w:cs="Arial" w:hAnsi="Verdana"/>
          <w:b/>
          <w:bCs/>
          <w:sz w:val="24"/>
          <w:szCs w:val="24"/>
          <w:u w:val="single"/>
        </w:rPr>
      </w:pPr>
    </w:p>
    <w:p>
      <w:pPr>
        <w:pStyle w:val="style0"/>
        <w:spacing w:after="0" w:lineRule="auto" w:line="240"/>
        <w:rPr>
          <w:rFonts w:ascii="Verdana" w:cs="Arial" w:hAnsi="Verdana"/>
          <w:b/>
          <w:bCs/>
          <w:sz w:val="24"/>
          <w:szCs w:val="24"/>
          <w:u w:val="single"/>
        </w:rPr>
      </w:pPr>
      <w:r>
        <w:rPr>
          <w:rFonts w:ascii="Times New Roman" w:cs="Times New Roman" w:hAnsi="Times New Roman"/>
          <w:noProof/>
          <w:sz w:val="24"/>
          <w:szCs w:val="24"/>
        </w:rPr>
        <w:drawing>
          <wp:anchor distT="0" distB="0" distL="0" distR="0" simplePos="false" relativeHeight="22" behindDoc="false" locked="false" layoutInCell="true" allowOverlap="true">
            <wp:simplePos x="0" y="0"/>
            <wp:positionH relativeFrom="margin">
              <wp:posOffset>69215</wp:posOffset>
            </wp:positionH>
            <wp:positionV relativeFrom="paragraph">
              <wp:posOffset>142240</wp:posOffset>
            </wp:positionV>
            <wp:extent cx="6146800" cy="2257425"/>
            <wp:effectExtent l="0" t="0" r="6350" b="9525"/>
            <wp:wrapNone/>
            <wp:docPr id="1032" name="Image 2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8"/>
                    <pic:cNvPicPr/>
                  </pic:nvPicPr>
                  <pic:blipFill>
                    <a:blip r:embed="rId4" cstate="print"/>
                    <a:srcRect l="0" t="22079" r="0" b="11029"/>
                    <a:stretch/>
                  </pic:blipFill>
                  <pic:spPr>
                    <a:xfrm rot="0">
                      <a:off x="0" y="0"/>
                      <a:ext cx="6146800" cy="22574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 w:lineRule="auto" w:line="240"/>
        <w:rPr>
          <w:rFonts w:ascii="Verdana" w:cs="Arial" w:hAnsi="Verdana"/>
          <w:b/>
          <w:bCs/>
          <w:sz w:val="24"/>
          <w:szCs w:val="24"/>
          <w:u w:val="single"/>
        </w:rPr>
      </w:pPr>
    </w:p>
    <w:p>
      <w:pPr>
        <w:pStyle w:val="style0"/>
        <w:spacing w:after="0" w:lineRule="auto" w:line="240"/>
        <w:rPr>
          <w:rFonts w:ascii="Verdana" w:cs="Arial" w:hAnsi="Verdana"/>
          <w:b/>
          <w:bCs/>
          <w:sz w:val="24"/>
          <w:szCs w:val="24"/>
          <w:u w:val="single"/>
        </w:rPr>
      </w:pPr>
    </w:p>
    <w:p>
      <w:pPr>
        <w:pStyle w:val="style0"/>
        <w:spacing w:after="0" w:lineRule="auto" w:line="240"/>
        <w:rPr>
          <w:rFonts w:ascii="Verdana" w:cs="Arial" w:hAnsi="Verdana"/>
          <w:b/>
          <w:bCs/>
          <w:sz w:val="24"/>
          <w:szCs w:val="24"/>
          <w:u w:val="single"/>
        </w:rPr>
      </w:pPr>
    </w:p>
    <w:p>
      <w:pPr>
        <w:pStyle w:val="style0"/>
        <w:spacing w:after="0" w:lineRule="auto" w:line="240"/>
        <w:rPr>
          <w:rFonts w:ascii="Verdana" w:cs="Arial" w:hAnsi="Verdana"/>
          <w:b/>
          <w:bCs/>
          <w:sz w:val="24"/>
          <w:szCs w:val="24"/>
          <w:u w:val="single"/>
        </w:rPr>
      </w:pPr>
    </w:p>
    <w:p>
      <w:pPr>
        <w:pStyle w:val="style0"/>
        <w:spacing w:after="0" w:lineRule="auto" w:line="240"/>
        <w:rPr>
          <w:rFonts w:ascii="Verdana" w:cs="Arial" w:hAnsi="Verdana"/>
          <w:b/>
          <w:bCs/>
          <w:sz w:val="24"/>
          <w:szCs w:val="24"/>
          <w:u w:val="single"/>
        </w:rPr>
      </w:pPr>
    </w:p>
    <w:p>
      <w:pPr>
        <w:pStyle w:val="style0"/>
        <w:spacing w:after="0" w:lineRule="auto" w:line="240"/>
        <w:rPr>
          <w:rFonts w:ascii="Verdana" w:cs="Arial" w:hAnsi="Verdana"/>
          <w:b/>
          <w:bCs/>
          <w:sz w:val="24"/>
          <w:szCs w:val="24"/>
          <w:u w:val="single"/>
        </w:rPr>
      </w:pPr>
    </w:p>
    <w:p>
      <w:pPr>
        <w:pStyle w:val="style0"/>
        <w:spacing w:after="0" w:lineRule="auto" w:line="240"/>
        <w:rPr>
          <w:rFonts w:ascii="Verdana" w:cs="Arial" w:hAnsi="Verdana"/>
          <w:b/>
          <w:bCs/>
          <w:sz w:val="24"/>
          <w:szCs w:val="24"/>
          <w:u w:val="single"/>
        </w:rPr>
      </w:pPr>
    </w:p>
    <w:p>
      <w:pPr>
        <w:pStyle w:val="style0"/>
        <w:spacing w:after="0" w:lineRule="auto" w:line="240"/>
        <w:rPr>
          <w:rFonts w:ascii="Verdana" w:cs="Arial" w:hAnsi="Verdana"/>
          <w:b/>
          <w:bCs/>
          <w:sz w:val="24"/>
          <w:szCs w:val="24"/>
          <w:u w:val="single"/>
        </w:rPr>
      </w:pPr>
    </w:p>
    <w:p>
      <w:pPr>
        <w:pStyle w:val="style0"/>
        <w:spacing w:after="0" w:lineRule="auto" w:line="240"/>
        <w:rPr>
          <w:rFonts w:ascii="Verdana" w:cs="Arial" w:hAnsi="Verdana"/>
          <w:b/>
          <w:bCs/>
          <w:sz w:val="24"/>
          <w:szCs w:val="24"/>
          <w:u w:val="single"/>
        </w:rPr>
      </w:pPr>
    </w:p>
    <w:p>
      <w:pPr>
        <w:pStyle w:val="style0"/>
        <w:spacing w:after="0" w:lineRule="auto" w:line="240"/>
        <w:rPr>
          <w:rFonts w:ascii="Verdana" w:cs="Arial" w:hAnsi="Verdana"/>
          <w:b/>
          <w:bCs/>
          <w:sz w:val="24"/>
          <w:szCs w:val="24"/>
          <w:u w:val="single"/>
        </w:rPr>
      </w:pPr>
    </w:p>
    <w:p>
      <w:pPr>
        <w:pStyle w:val="style0"/>
        <w:spacing w:after="0" w:lineRule="auto" w:line="240"/>
        <w:rPr>
          <w:rFonts w:ascii="Verdana" w:cs="Arial" w:hAnsi="Verdana"/>
          <w:b/>
          <w:bCs/>
          <w:sz w:val="24"/>
          <w:szCs w:val="24"/>
          <w:u w:val="single"/>
        </w:rPr>
      </w:pPr>
    </w:p>
    <w:p>
      <w:pPr>
        <w:pStyle w:val="style0"/>
        <w:spacing w:after="0" w:lineRule="auto" w:line="240"/>
        <w:rPr>
          <w:rFonts w:ascii="Verdana" w:cs="Arial" w:hAnsi="Verdana"/>
          <w:b/>
          <w:bCs/>
          <w:sz w:val="24"/>
          <w:szCs w:val="24"/>
          <w:u w:val="single"/>
        </w:rPr>
      </w:pPr>
    </w:p>
    <w:p>
      <w:pPr>
        <w:pStyle w:val="style0"/>
        <w:spacing w:after="0" w:lineRule="auto" w:line="240"/>
        <w:rPr>
          <w:rFonts w:ascii="Verdana" w:cs="Arial" w:hAnsi="Verdana"/>
          <w:b/>
          <w:bCs/>
          <w:color w:val="00b0f0"/>
          <w:sz w:val="24"/>
          <w:szCs w:val="24"/>
          <w:u w:val="single"/>
        </w:rPr>
      </w:pPr>
    </w:p>
    <w:p>
      <w:pPr>
        <w:pStyle w:val="style0"/>
        <w:spacing w:after="0" w:lineRule="auto" w:line="240"/>
        <w:rPr>
          <w:rFonts w:ascii="Verdana" w:cs="Arial" w:eastAsia="Times New Roman" w:hAnsi="Verdana"/>
          <w:b/>
          <w:bCs/>
          <w:color w:val="ffffff"/>
          <w:sz w:val="28"/>
          <w:szCs w:val="28"/>
        </w:rPr>
      </w:pPr>
      <w:r>
        <w:rPr>
          <w:rFonts w:ascii="Verdana" w:cs="Arial" w:hAnsi="Verdana"/>
          <w:b/>
          <w:bCs/>
          <w:color w:val="00b0f0"/>
          <w:sz w:val="24"/>
          <w:szCs w:val="24"/>
          <w:u w:val="single"/>
        </w:rPr>
        <w:t>NOTRE VISION</w:t>
      </w:r>
      <w:r>
        <w:rPr>
          <w:rFonts w:ascii="Verdana" w:cs="Arial" w:hAnsi="Verdana"/>
          <w:color w:val="00b0f0"/>
          <w:sz w:val="24"/>
          <w:szCs w:val="24"/>
        </w:rPr>
        <w:t> :</w:t>
      </w:r>
    </w:p>
    <w:bookmarkStart w:id="0" w:name="_Hlk195791551"/>
    <w:p>
      <w:pPr>
        <w:pStyle w:val="style0"/>
        <w:tabs>
          <w:tab w:val="left" w:leader="none" w:pos="3735"/>
        </w:tabs>
        <w:jc w:val="both"/>
        <w:rPr>
          <w:rFonts w:ascii="Verdana" w:hAnsi="Verdana"/>
          <w:b/>
          <w:sz w:val="28"/>
          <w:szCs w:val="28"/>
        </w:rPr>
        <w:sectPr>
          <w:footerReference w:type="default" r:id="rId5"/>
          <w:pgSz w:w="12240" w:h="15840" w:orient="portrait"/>
          <w:pgMar w:top="142" w:right="1134" w:bottom="567" w:left="1191" w:header="709" w:footer="357" w:gutter="0"/>
          <w:pgNumType w:start="1"/>
          <w:cols w:space="708"/>
          <w:docGrid w:linePitch="360"/>
        </w:sectPr>
      </w:pPr>
      <w:r>
        <w:rPr>
          <w:rFonts w:ascii="Verdana" w:cs="Times New Roman" w:eastAsia="Times New Roman" w:hAnsi="Verdana"/>
          <w:b/>
          <w:color w:val="0070c0"/>
          <w:sz w:val="24"/>
          <w:szCs w:val="24"/>
        </w:rPr>
        <w:t>Ouvrir le CHRM avec l’assurance de meilleure prise en charge des patients et grâce à un appui des personnels bien formés, bien motivés et prêts à délivrer des soins de qualité et bien sécurisés dans un contexte d’humanisation.</w:t>
      </w:r>
      <w:bookmarkStart w:id="1" w:name="_Toc74983459"/>
      <w:bookmarkEnd w:id="0"/>
    </w:p>
    <w:bookmarkStart w:id="2" w:name="_Toc74983461"/>
    <w:bookmarkStart w:id="3" w:name="_Toc189292256"/>
    <w:bookmarkStart w:id="4" w:name="_Toc189644162"/>
    <w:bookmarkStart w:id="5" w:name="_Toc189968593"/>
    <w:bookmarkEnd w:id="1"/>
    <w:p>
      <w:pPr>
        <w:pStyle w:val="style19"/>
        <w:rPr/>
      </w:pPr>
      <w:r>
        <w:t>SoMM</w:t>
      </w:r>
      <w:r>
        <w:t>aire</w:t>
      </w:r>
    </w:p>
    <w:p>
      <w:pPr>
        <w:pStyle w:val="style19"/>
        <w:rPr>
          <w:rFonts w:cs="宋体" w:eastAsia="宋体"/>
          <w:kern w:val="2"/>
          <w:sz w:val="24"/>
          <w:szCs w:val="24"/>
          <w14:ligatures xmlns:w14="http://schemas.microsoft.com/office/word/2010/wordml" w14:val="standardContextual"/>
        </w:rPr>
      </w:pPr>
      <w:r>
        <w:rPr>
          <w:highlight w:val="yellow"/>
        </w:rPr>
        <w:fldChar w:fldCharType="begin"/>
      </w:r>
      <w:r>
        <w:rPr>
          <w:highlight w:val="yellow"/>
        </w:rPr>
        <w:instrText xml:space="preserve"> TOC \o "1-3" \h \z \u </w:instrText>
      </w:r>
      <w:r>
        <w:rPr>
          <w:highlight w:val="yellow"/>
        </w:rPr>
        <w:fldChar w:fldCharType="separate"/>
      </w:r>
      <w:r>
        <w:rPr/>
        <w:fldChar w:fldCharType="begin"/>
      </w:r>
      <w:r>
        <w:instrText xml:space="preserve"> HYPERLINK \l "_Toc225355673" </w:instrText>
      </w:r>
      <w:r>
        <w:rPr/>
        <w:fldChar w:fldCharType="separate"/>
      </w:r>
      <w:r>
        <w:rPr>
          <w:rStyle w:val="style85"/>
          <w:color w:val="auto"/>
        </w:rPr>
        <w:t>ABREVIATIONS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_Toc225355673 \h </w:instrText>
      </w:r>
      <w:r>
        <w:rPr>
          <w:webHidden/>
        </w:rPr>
        <w:fldChar w:fldCharType="separate"/>
      </w:r>
      <w:r>
        <w:rPr>
          <w:webHidden/>
        </w:rPr>
        <w:t>4</w:t>
      </w:r>
      <w:r>
        <w:rPr>
          <w:webHidden/>
        </w:rPr>
        <w:fldChar w:fldCharType="end"/>
      </w:r>
      <w:r>
        <w:rPr/>
        <w:fldChar w:fldCharType="end"/>
      </w:r>
    </w:p>
    <w:p>
      <w:pPr>
        <w:pStyle w:val="style19"/>
        <w:rPr>
          <w:rFonts w:cs="宋体" w:eastAsia="宋体"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"_Toc225355674" </w:instrText>
      </w:r>
      <w:r>
        <w:rPr/>
        <w:fldChar w:fldCharType="separate"/>
      </w:r>
      <w:r>
        <w:rPr>
          <w:rStyle w:val="style85"/>
          <w:color w:val="auto"/>
        </w:rPr>
        <w:t>LE MOT DU DIRECTEUR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_Toc225355674 \h </w:instrText>
      </w:r>
      <w:r>
        <w:rPr>
          <w:webHidden/>
        </w:rPr>
        <w:fldChar w:fldCharType="separate"/>
      </w:r>
      <w:r>
        <w:rPr>
          <w:webHidden/>
        </w:rPr>
        <w:t>5</w:t>
      </w:r>
      <w:r>
        <w:rPr>
          <w:webHidden/>
        </w:rPr>
        <w:fldChar w:fldCharType="end"/>
      </w:r>
      <w:r>
        <w:rPr/>
        <w:fldChar w:fldCharType="end"/>
      </w:r>
    </w:p>
    <w:p>
      <w:pPr>
        <w:pStyle w:val="style19"/>
        <w:rPr>
          <w:rFonts w:cs="宋体" w:eastAsia="宋体"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"_Toc225355675" </w:instrText>
      </w:r>
      <w:r>
        <w:rPr/>
        <w:fldChar w:fldCharType="separate"/>
      </w:r>
      <w:r>
        <w:rPr>
          <w:rStyle w:val="style85"/>
          <w:color w:val="auto"/>
        </w:rPr>
        <w:t>1</w:t>
      </w:r>
      <w:r>
        <w:rPr>
          <w:rFonts w:cs="宋体" w:eastAsia="宋体"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color w:val="auto"/>
        </w:rPr>
        <w:t>PRESENTATION GENERALE DE L’ETABLISSEMENT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_Toc225355675 \h </w:instrText>
      </w:r>
      <w:r>
        <w:rPr>
          <w:webHidden/>
        </w:rPr>
        <w:fldChar w:fldCharType="separate"/>
      </w:r>
      <w:r>
        <w:rPr>
          <w:webHidden/>
        </w:rPr>
        <w:t>6</w:t>
      </w:r>
      <w:r>
        <w:rPr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"_Toc225355676" </w:instrText>
      </w:r>
      <w:r>
        <w:rPr/>
        <w:fldChar w:fldCharType="separate"/>
      </w:r>
      <w:r>
        <w:rPr>
          <w:rStyle w:val="style85"/>
          <w:noProof/>
          <w:color w:val="auto"/>
        </w:rPr>
        <w:t>1.1</w:t>
      </w:r>
      <w:r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Organisation et fonctionnement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_Toc225355676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7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1"/>
        <w:tabs>
          <w:tab w:val="left" w:leader="none" w:pos="1200"/>
          <w:tab w:val="right" w:leader="dot" w:pos="9062"/>
        </w:tabs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"_Toc225355677" </w:instrText>
      </w:r>
      <w:r>
        <w:rPr/>
        <w:fldChar w:fldCharType="separate"/>
      </w:r>
      <w:r>
        <w:rPr>
          <w:rStyle w:val="style85"/>
          <w:noProof/>
          <w:color w:val="auto"/>
        </w:rPr>
        <w:t>1.1.1</w:t>
      </w:r>
      <w:r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Les services administratifs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_Toc225355677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7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1"/>
        <w:tabs>
          <w:tab w:val="left" w:leader="none" w:pos="1200"/>
          <w:tab w:val="right" w:leader="dot" w:pos="9062"/>
        </w:tabs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"_Toc225355678" </w:instrText>
      </w:r>
      <w:r>
        <w:rPr/>
        <w:fldChar w:fldCharType="separate"/>
      </w:r>
      <w:r>
        <w:rPr>
          <w:rStyle w:val="style85"/>
          <w:noProof/>
          <w:color w:val="auto"/>
        </w:rPr>
        <w:t>1.1.2</w:t>
      </w:r>
      <w:r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Le Département de chirurgie et Spécialités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_Toc225355678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7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1"/>
        <w:tabs>
          <w:tab w:val="left" w:leader="none" w:pos="1200"/>
          <w:tab w:val="right" w:leader="dot" w:pos="9062"/>
        </w:tabs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"_Toc225355679" </w:instrText>
      </w:r>
      <w:r>
        <w:rPr/>
        <w:fldChar w:fldCharType="separate"/>
      </w:r>
      <w:r>
        <w:rPr>
          <w:rStyle w:val="style85"/>
          <w:noProof/>
          <w:color w:val="auto"/>
        </w:rPr>
        <w:t>1.1.3</w:t>
      </w:r>
      <w:r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Le Département de Gynécologie et Obstétrique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_Toc225355679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7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1"/>
        <w:tabs>
          <w:tab w:val="left" w:leader="none" w:pos="1200"/>
          <w:tab w:val="right" w:leader="dot" w:pos="9062"/>
        </w:tabs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"_Toc225355680" </w:instrText>
      </w:r>
      <w:r>
        <w:rPr/>
        <w:fldChar w:fldCharType="separate"/>
      </w:r>
      <w:r>
        <w:rPr>
          <w:rStyle w:val="style85"/>
          <w:noProof/>
          <w:color w:val="auto"/>
        </w:rPr>
        <w:t>1.1.4</w:t>
      </w:r>
      <w:r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Le Département de Pédiatrie et Néonatalogie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_Toc225355680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8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1"/>
        <w:tabs>
          <w:tab w:val="left" w:leader="none" w:pos="1200"/>
          <w:tab w:val="right" w:leader="dot" w:pos="9062"/>
        </w:tabs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"_Toc225355681" </w:instrText>
      </w:r>
      <w:r>
        <w:rPr/>
        <w:fldChar w:fldCharType="separate"/>
      </w:r>
      <w:r>
        <w:rPr>
          <w:rStyle w:val="style85"/>
          <w:noProof/>
          <w:color w:val="auto"/>
        </w:rPr>
        <w:t>1.1.5</w:t>
      </w:r>
      <w:r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Le Département de médecine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_Toc225355681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8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1"/>
        <w:tabs>
          <w:tab w:val="left" w:leader="none" w:pos="1200"/>
          <w:tab w:val="right" w:leader="dot" w:pos="9062"/>
        </w:tabs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"_Toc225355682" </w:instrText>
      </w:r>
      <w:r>
        <w:rPr/>
        <w:fldChar w:fldCharType="separate"/>
      </w:r>
      <w:r>
        <w:rPr>
          <w:rStyle w:val="style85"/>
          <w:noProof/>
          <w:color w:val="auto"/>
        </w:rPr>
        <w:t>1.1.6</w:t>
      </w:r>
      <w:r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Le Département d’appui au diagnostic et au traitement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_Toc225355682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8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1"/>
        <w:tabs>
          <w:tab w:val="left" w:leader="none" w:pos="1200"/>
          <w:tab w:val="right" w:leader="dot" w:pos="9062"/>
        </w:tabs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"_Toc225355683" </w:instrText>
      </w:r>
      <w:r>
        <w:rPr/>
        <w:fldChar w:fldCharType="separate"/>
      </w:r>
      <w:r>
        <w:rPr>
          <w:rStyle w:val="style85"/>
          <w:noProof/>
          <w:color w:val="auto"/>
        </w:rPr>
        <w:t>1.1.7</w:t>
      </w:r>
      <w:r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Le Département des Urgences et consultations externes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_Toc225355683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8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1"/>
        <w:tabs>
          <w:tab w:val="left" w:leader="none" w:pos="1200"/>
          <w:tab w:val="right" w:leader="dot" w:pos="9062"/>
        </w:tabs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"_Toc225355684" </w:instrText>
      </w:r>
      <w:r>
        <w:rPr/>
        <w:fldChar w:fldCharType="separate"/>
      </w:r>
      <w:r>
        <w:rPr>
          <w:rStyle w:val="style85"/>
          <w:noProof/>
          <w:color w:val="auto"/>
        </w:rPr>
        <w:t>1.1.8</w:t>
      </w:r>
      <w:r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Les Services supports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_Toc225355684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8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1"/>
        <w:tabs>
          <w:tab w:val="left" w:leader="none" w:pos="1200"/>
          <w:tab w:val="right" w:leader="dot" w:pos="9062"/>
        </w:tabs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"_Toc225355685" </w:instrText>
      </w:r>
      <w:r>
        <w:rPr/>
        <w:fldChar w:fldCharType="separate"/>
      </w:r>
      <w:r>
        <w:rPr>
          <w:rStyle w:val="style85"/>
          <w:noProof/>
          <w:color w:val="auto"/>
        </w:rPr>
        <w:t>1.1.9</w:t>
      </w:r>
      <w:r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Le Service d’Hygiène et Assainissement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_Toc225355685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8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"_Toc225355686" </w:instrText>
      </w:r>
      <w:r>
        <w:rPr/>
        <w:fldChar w:fldCharType="separate"/>
      </w:r>
      <w:r>
        <w:rPr>
          <w:rStyle w:val="style85"/>
          <w:noProof/>
          <w:color w:val="auto"/>
        </w:rPr>
        <w:t>1.2</w:t>
      </w:r>
      <w:r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Le personnel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_Toc225355686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8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"_Toc225355687" </w:instrText>
      </w:r>
      <w:r>
        <w:rPr/>
        <w:fldChar w:fldCharType="separate"/>
      </w:r>
      <w:r>
        <w:rPr>
          <w:rStyle w:val="style85"/>
          <w:noProof/>
          <w:color w:val="auto"/>
        </w:rPr>
        <w:t>1.3</w:t>
      </w:r>
      <w:r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Les infrastructures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_Toc225355687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11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"_Toc225355688" </w:instrText>
      </w:r>
      <w:r>
        <w:rPr/>
        <w:fldChar w:fldCharType="separate"/>
      </w:r>
      <w:r>
        <w:rPr>
          <w:rStyle w:val="style85"/>
          <w:noProof/>
          <w:color w:val="auto"/>
        </w:rPr>
        <w:t>1.4</w:t>
      </w:r>
      <w:r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Les Principaux équipements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_Toc225355688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11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"_Toc225355689" </w:instrText>
      </w:r>
      <w:r>
        <w:rPr/>
        <w:fldChar w:fldCharType="separate"/>
      </w:r>
      <w:r>
        <w:rPr>
          <w:rStyle w:val="style85"/>
          <w:noProof/>
          <w:color w:val="auto"/>
        </w:rPr>
        <w:t>1.5</w:t>
      </w:r>
      <w:r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Capacité en lits par service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_Toc225355689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14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"_Toc225355690" </w:instrText>
      </w:r>
      <w:r>
        <w:rPr/>
        <w:fldChar w:fldCharType="separate"/>
      </w:r>
      <w:r>
        <w:rPr>
          <w:rStyle w:val="style85"/>
          <w:noProof/>
          <w:color w:val="auto"/>
        </w:rPr>
        <w:t>1.6</w:t>
      </w:r>
      <w:r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Communication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_Toc225355690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14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"_Toc225355691" </w:instrText>
      </w:r>
      <w:r>
        <w:rPr/>
        <w:fldChar w:fldCharType="separate"/>
      </w:r>
      <w:r>
        <w:rPr>
          <w:rStyle w:val="style85"/>
          <w:noProof/>
          <w:color w:val="auto"/>
        </w:rPr>
        <w:t>1.7</w:t>
      </w:r>
      <w:r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Partenariat et coopération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_Toc225355691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14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19"/>
        <w:rPr>
          <w:rFonts w:cs="宋体" w:eastAsia="宋体"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"_Toc225355692" </w:instrText>
      </w:r>
      <w:r>
        <w:rPr/>
        <w:fldChar w:fldCharType="separate"/>
      </w:r>
      <w:r>
        <w:rPr>
          <w:rStyle w:val="style85"/>
          <w:color w:val="auto"/>
        </w:rPr>
        <w:t>2</w:t>
      </w:r>
      <w:r>
        <w:rPr>
          <w:rFonts w:cs="宋体" w:eastAsia="宋体"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color w:val="auto"/>
        </w:rPr>
        <w:t>FAITS MARQUANTS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_Toc225355692 \h </w:instrText>
      </w:r>
      <w:r>
        <w:rPr>
          <w:webHidden/>
        </w:rPr>
        <w:fldChar w:fldCharType="separate"/>
      </w:r>
      <w:r>
        <w:rPr>
          <w:webHidden/>
        </w:rPr>
        <w:t>16</w:t>
      </w:r>
      <w:r>
        <w:rPr>
          <w:webHidden/>
        </w:rPr>
        <w:fldChar w:fldCharType="end"/>
      </w:r>
      <w:r>
        <w:rPr/>
        <w:fldChar w:fldCharType="end"/>
      </w:r>
    </w:p>
    <w:p>
      <w:pPr>
        <w:pStyle w:val="style19"/>
        <w:rPr>
          <w:rFonts w:cs="宋体" w:eastAsia="宋体"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"_Toc225355693" </w:instrText>
      </w:r>
      <w:r>
        <w:rPr/>
        <w:fldChar w:fldCharType="separate"/>
      </w:r>
      <w:r>
        <w:rPr>
          <w:rStyle w:val="style85"/>
          <w:color w:val="auto"/>
        </w:rPr>
        <w:t>3</w:t>
      </w:r>
      <w:r>
        <w:rPr>
          <w:rFonts w:cs="宋体" w:eastAsia="宋体"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color w:val="auto"/>
        </w:rPr>
        <w:t>SANTE DE LA MERE ET DE L’ENFANT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_Toc225355693 \h </w:instrText>
      </w:r>
      <w:r>
        <w:rPr>
          <w:webHidden/>
        </w:rPr>
        <w:fldChar w:fldCharType="separate"/>
      </w:r>
      <w:r>
        <w:rPr>
          <w:webHidden/>
        </w:rPr>
        <w:t>19</w:t>
      </w:r>
      <w:r>
        <w:rPr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"_Toc225355694" </w:instrText>
      </w:r>
      <w:r>
        <w:rPr/>
        <w:fldChar w:fldCharType="separate"/>
      </w:r>
      <w:r>
        <w:rPr>
          <w:rStyle w:val="style85"/>
          <w:noProof/>
          <w:color w:val="auto"/>
        </w:rPr>
        <w:t>3.1</w:t>
      </w:r>
      <w:r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Santé de la mère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_Toc225355694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20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1"/>
        <w:tabs>
          <w:tab w:val="left" w:leader="none" w:pos="1200"/>
          <w:tab w:val="right" w:leader="dot" w:pos="9062"/>
        </w:tabs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"_Toc225355695" </w:instrText>
      </w:r>
      <w:r>
        <w:rPr/>
        <w:fldChar w:fldCharType="separate"/>
      </w:r>
      <w:r>
        <w:rPr>
          <w:rStyle w:val="style85"/>
          <w:noProof/>
          <w:color w:val="auto"/>
        </w:rPr>
        <w:t>3.1.1</w:t>
      </w:r>
      <w:r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Accouchements et autres activités de la maternité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_Toc225355695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20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1"/>
        <w:tabs>
          <w:tab w:val="left" w:leader="none" w:pos="1200"/>
          <w:tab w:val="right" w:leader="dot" w:pos="9062"/>
        </w:tabs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"_Toc225355696" </w:instrText>
      </w:r>
      <w:r>
        <w:rPr/>
        <w:fldChar w:fldCharType="separate"/>
      </w:r>
      <w:r>
        <w:rPr>
          <w:rStyle w:val="style85"/>
          <w:noProof/>
          <w:color w:val="auto"/>
        </w:rPr>
        <w:t>3.1.2</w:t>
      </w:r>
      <w:r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Les déclarations de naissance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_Toc225355696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21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1"/>
        <w:tabs>
          <w:tab w:val="left" w:leader="none" w:pos="1200"/>
          <w:tab w:val="right" w:leader="dot" w:pos="9062"/>
        </w:tabs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"_Toc225355697" </w:instrText>
      </w:r>
      <w:r>
        <w:rPr/>
        <w:fldChar w:fldCharType="separate"/>
      </w:r>
      <w:r>
        <w:rPr>
          <w:rStyle w:val="style85"/>
          <w:noProof/>
          <w:color w:val="auto"/>
        </w:rPr>
        <w:t>3.1.3</w:t>
      </w:r>
      <w:r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Dépistage des cancers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_Toc225355697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22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"_Toc225355698" </w:instrText>
      </w:r>
      <w:r>
        <w:rPr/>
        <w:fldChar w:fldCharType="separate"/>
      </w:r>
      <w:r>
        <w:rPr>
          <w:rStyle w:val="style85"/>
          <w:noProof/>
          <w:color w:val="auto"/>
        </w:rPr>
        <w:t>3.2</w:t>
      </w:r>
      <w:r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Santé de l’enfant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_Toc225355698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22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19"/>
        <w:rPr>
          <w:rFonts w:cs="宋体" w:eastAsia="宋体"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"_Toc225355699" </w:instrText>
      </w:r>
      <w:r>
        <w:rPr/>
        <w:fldChar w:fldCharType="separate"/>
      </w:r>
      <w:r>
        <w:rPr>
          <w:rStyle w:val="style85"/>
          <w:color w:val="auto"/>
        </w:rPr>
        <w:t>4</w:t>
      </w:r>
      <w:r>
        <w:rPr>
          <w:rFonts w:cs="宋体" w:eastAsia="宋体"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color w:val="auto"/>
        </w:rPr>
        <w:t>LUTTE CONTRE LA MALADIE ET SOINS CURATIFS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_Toc225355699 \h </w:instrText>
      </w:r>
      <w:r>
        <w:rPr>
          <w:webHidden/>
        </w:rPr>
        <w:fldChar w:fldCharType="separate"/>
      </w:r>
      <w:r>
        <w:rPr>
          <w:webHidden/>
        </w:rPr>
        <w:t>23</w:t>
      </w:r>
      <w:r>
        <w:rPr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"_Toc225355700" </w:instrText>
      </w:r>
      <w:r>
        <w:rPr/>
        <w:fldChar w:fldCharType="separate"/>
      </w:r>
      <w:r>
        <w:rPr>
          <w:rStyle w:val="style85"/>
          <w:rFonts w:cs="Arial"/>
          <w:noProof/>
          <w:color w:val="auto"/>
          <w:lang w:eastAsia="en-US"/>
        </w:rPr>
        <w:t>4.1</w:t>
      </w:r>
      <w:r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Lutte contre le VIH/SIDA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_Toc225355700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24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1"/>
        <w:tabs>
          <w:tab w:val="left" w:leader="none" w:pos="1200"/>
          <w:tab w:val="right" w:leader="dot" w:pos="9062"/>
        </w:tabs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"_Toc225355701" </w:instrText>
      </w:r>
      <w:r>
        <w:rPr/>
        <w:fldChar w:fldCharType="separate"/>
      </w:r>
      <w:r>
        <w:rPr>
          <w:rStyle w:val="style85"/>
          <w:noProof/>
          <w:color w:val="auto"/>
        </w:rPr>
        <w:t>4.1.1</w:t>
      </w:r>
      <w:r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Le dépistage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_Toc225355701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24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1"/>
        <w:tabs>
          <w:tab w:val="left" w:leader="none" w:pos="1200"/>
          <w:tab w:val="right" w:leader="dot" w:pos="9062"/>
        </w:tabs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"_Toc225355702" </w:instrText>
      </w:r>
      <w:r>
        <w:rPr/>
        <w:fldChar w:fldCharType="separate"/>
      </w:r>
      <w:r>
        <w:rPr>
          <w:rStyle w:val="style85"/>
          <w:noProof/>
          <w:color w:val="auto"/>
        </w:rPr>
        <w:t>4.1.2</w:t>
      </w:r>
      <w:r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Le traitement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_Toc225355702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24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"_Toc225355703" </w:instrText>
      </w:r>
      <w:r>
        <w:rPr/>
        <w:fldChar w:fldCharType="separate"/>
      </w:r>
      <w:r>
        <w:rPr>
          <w:rStyle w:val="style85"/>
          <w:noProof/>
          <w:color w:val="auto"/>
        </w:rPr>
        <w:t>4.2</w:t>
      </w:r>
      <w:r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Lutte contre la tuberculose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_Toc225355703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25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"_Toc225355704" </w:instrText>
      </w:r>
      <w:r>
        <w:rPr/>
        <w:fldChar w:fldCharType="separate"/>
      </w:r>
      <w:r>
        <w:rPr>
          <w:rStyle w:val="style85"/>
          <w:noProof/>
          <w:color w:val="auto"/>
        </w:rPr>
        <w:t>4.3</w:t>
      </w:r>
      <w:r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Les cas de traumatismes reçus au service des urgences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_Toc225355704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25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"_Toc225355705" </w:instrText>
      </w:r>
      <w:r>
        <w:rPr/>
        <w:fldChar w:fldCharType="separate"/>
      </w:r>
      <w:r>
        <w:rPr>
          <w:rStyle w:val="style85"/>
          <w:noProof/>
          <w:color w:val="auto"/>
        </w:rPr>
        <w:t>4.4</w:t>
      </w:r>
      <w:r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Les Soins de kinésithérapie et réhabilitation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_Toc225355705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25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"_Toc225355706" </w:instrText>
      </w:r>
      <w:r>
        <w:rPr/>
        <w:fldChar w:fldCharType="separate"/>
      </w:r>
      <w:r>
        <w:rPr>
          <w:rStyle w:val="style85"/>
          <w:noProof/>
          <w:color w:val="auto"/>
        </w:rPr>
        <w:t>4.5</w:t>
      </w:r>
      <w:r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LES AUTRES PERFORMANCES CLINIQUES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_Toc225355706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26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1"/>
        <w:tabs>
          <w:tab w:val="left" w:leader="none" w:pos="1200"/>
          <w:tab w:val="right" w:leader="dot" w:pos="9062"/>
        </w:tabs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"_Toc225355707" </w:instrText>
      </w:r>
      <w:r>
        <w:rPr/>
        <w:fldChar w:fldCharType="separate"/>
      </w:r>
      <w:r>
        <w:rPr>
          <w:rStyle w:val="style85"/>
          <w:noProof/>
          <w:color w:val="auto"/>
        </w:rPr>
        <w:t>4.5.1</w:t>
      </w:r>
      <w:r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les consultations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_Toc225355707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26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1"/>
        <w:tabs>
          <w:tab w:val="left" w:leader="none" w:pos="1200"/>
          <w:tab w:val="right" w:leader="dot" w:pos="9062"/>
        </w:tabs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"_Toc225355708" </w:instrText>
      </w:r>
      <w:r>
        <w:rPr/>
        <w:fldChar w:fldCharType="separate"/>
      </w:r>
      <w:r>
        <w:rPr>
          <w:rStyle w:val="style85"/>
          <w:noProof/>
          <w:color w:val="auto"/>
        </w:rPr>
        <w:t>4.5.2</w:t>
      </w:r>
      <w:r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les hospitalisations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_Toc225355708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27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1"/>
        <w:tabs>
          <w:tab w:val="left" w:leader="none" w:pos="1200"/>
          <w:tab w:val="right" w:leader="dot" w:pos="9062"/>
        </w:tabs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"_Toc225355709" </w:instrText>
      </w:r>
      <w:r>
        <w:rPr/>
        <w:fldChar w:fldCharType="separate"/>
      </w:r>
      <w:r>
        <w:rPr>
          <w:rStyle w:val="style85"/>
          <w:noProof/>
          <w:color w:val="auto"/>
        </w:rPr>
        <w:t>4.5.3</w:t>
      </w:r>
      <w:r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principales activités d’imagerie medicale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_Toc225355709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28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1"/>
        <w:tabs>
          <w:tab w:val="left" w:leader="none" w:pos="1200"/>
          <w:tab w:val="right" w:leader="dot" w:pos="9062"/>
        </w:tabs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"_Toc225355710" </w:instrText>
      </w:r>
      <w:r>
        <w:rPr/>
        <w:fldChar w:fldCharType="separate"/>
      </w:r>
      <w:r>
        <w:rPr>
          <w:rStyle w:val="style85"/>
          <w:noProof/>
          <w:color w:val="auto"/>
        </w:rPr>
        <w:t>4.5.4</w:t>
      </w:r>
      <w:r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principales activités du laboratoire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_Toc225355710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29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1"/>
        <w:tabs>
          <w:tab w:val="left" w:leader="none" w:pos="1200"/>
          <w:tab w:val="right" w:leader="dot" w:pos="9062"/>
        </w:tabs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"_Toc225355711" </w:instrText>
      </w:r>
      <w:r>
        <w:rPr/>
        <w:fldChar w:fldCharType="separate"/>
      </w:r>
      <w:r>
        <w:rPr>
          <w:rStyle w:val="style85"/>
          <w:noProof/>
          <w:color w:val="auto"/>
        </w:rPr>
        <w:t>4.5.5</w:t>
      </w:r>
      <w:r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principales activités de la banque de sang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_Toc225355711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30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1"/>
        <w:tabs>
          <w:tab w:val="left" w:leader="none" w:pos="1200"/>
          <w:tab w:val="right" w:leader="dot" w:pos="9062"/>
        </w:tabs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"_Toc225355712" </w:instrText>
      </w:r>
      <w:r>
        <w:rPr/>
        <w:fldChar w:fldCharType="separate"/>
      </w:r>
      <w:r>
        <w:rPr>
          <w:rStyle w:val="style85"/>
          <w:noProof/>
          <w:color w:val="auto"/>
        </w:rPr>
        <w:t>4.5.6</w:t>
      </w:r>
      <w:r>
        <w:rPr>
          <w:rFonts w:ascii="Calibri" w:cs="宋体" w:eastAsia="宋体" w:hAnsi="Calibri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LA MORTALITÉ INTRA-HOSPITALIÈRE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_Toc225355712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32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19"/>
        <w:rPr>
          <w:rFonts w:cs="宋体" w:eastAsia="宋体"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"_Toc225355713" </w:instrText>
      </w:r>
      <w:r>
        <w:rPr/>
        <w:fldChar w:fldCharType="separate"/>
      </w:r>
      <w:r>
        <w:rPr>
          <w:rStyle w:val="style85"/>
          <w:color w:val="auto"/>
        </w:rPr>
        <w:t>5</w:t>
      </w:r>
      <w:r>
        <w:rPr>
          <w:rFonts w:cs="宋体" w:eastAsia="宋体"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color w:val="auto"/>
        </w:rPr>
        <w:t>LA COMMUNICATION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_Toc225355713 \h </w:instrText>
      </w:r>
      <w:r>
        <w:rPr>
          <w:webHidden/>
        </w:rPr>
        <w:fldChar w:fldCharType="separate"/>
      </w:r>
      <w:r>
        <w:rPr>
          <w:webHidden/>
        </w:rPr>
        <w:t>33</w:t>
      </w:r>
      <w:r>
        <w:rPr>
          <w:webHidden/>
        </w:rPr>
        <w:fldChar w:fldCharType="end"/>
      </w:r>
      <w:r>
        <w:rPr/>
        <w:fldChar w:fldCharType="end"/>
      </w:r>
    </w:p>
    <w:p>
      <w:pPr>
        <w:pStyle w:val="style19"/>
        <w:rPr>
          <w:rFonts w:cs="宋体" w:eastAsia="宋体"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"_Toc225355714" </w:instrText>
      </w:r>
      <w:r>
        <w:rPr/>
        <w:fldChar w:fldCharType="separate"/>
      </w:r>
      <w:r>
        <w:rPr>
          <w:rStyle w:val="style85"/>
          <w:color w:val="auto"/>
        </w:rPr>
        <w:t>6</w:t>
      </w:r>
      <w:r>
        <w:rPr>
          <w:rFonts w:cs="宋体" w:eastAsia="宋体"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color w:val="auto"/>
        </w:rPr>
        <w:t>HYGIENNE HOSPITALIERE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_Toc225355714 \h </w:instrText>
      </w:r>
      <w:r>
        <w:rPr>
          <w:webHidden/>
        </w:rPr>
        <w:fldChar w:fldCharType="separate"/>
      </w:r>
      <w:r>
        <w:rPr>
          <w:webHidden/>
        </w:rPr>
        <w:t>33</w:t>
      </w:r>
      <w:r>
        <w:rPr>
          <w:webHidden/>
        </w:rPr>
        <w:fldChar w:fldCharType="end"/>
      </w:r>
      <w:r>
        <w:rPr/>
        <w:fldChar w:fldCharType="end"/>
      </w:r>
    </w:p>
    <w:p>
      <w:pPr>
        <w:pStyle w:val="style19"/>
        <w:rPr>
          <w:rFonts w:cs="宋体" w:eastAsia="宋体"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"_Toc225355715" </w:instrText>
      </w:r>
      <w:r>
        <w:rPr/>
        <w:fldChar w:fldCharType="separate"/>
      </w:r>
      <w:r>
        <w:rPr>
          <w:rStyle w:val="style85"/>
          <w:color w:val="auto"/>
        </w:rPr>
        <w:t>7</w:t>
      </w:r>
      <w:r>
        <w:rPr>
          <w:rFonts w:cs="宋体" w:eastAsia="宋体"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color w:val="auto"/>
        </w:rPr>
        <w:t>QUALITÉ ET SÉCURITÉ DES SOINS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_Toc225355715 \h </w:instrText>
      </w:r>
      <w:r>
        <w:rPr>
          <w:webHidden/>
        </w:rPr>
        <w:fldChar w:fldCharType="separate"/>
      </w:r>
      <w:r>
        <w:rPr>
          <w:webHidden/>
        </w:rPr>
        <w:t>34</w:t>
      </w:r>
      <w:r>
        <w:rPr>
          <w:webHidden/>
        </w:rPr>
        <w:fldChar w:fldCharType="end"/>
      </w:r>
      <w:r>
        <w:rPr/>
        <w:fldChar w:fldCharType="end"/>
      </w:r>
    </w:p>
    <w:p>
      <w:pPr>
        <w:pStyle w:val="style19"/>
        <w:rPr>
          <w:rFonts w:cs="宋体" w:eastAsia="宋体"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"_Toc225355716" </w:instrText>
      </w:r>
      <w:r>
        <w:rPr/>
        <w:fldChar w:fldCharType="separate"/>
      </w:r>
      <w:r>
        <w:rPr>
          <w:rStyle w:val="style85"/>
          <w:color w:val="auto"/>
        </w:rPr>
        <w:t>8</w:t>
      </w:r>
      <w:r>
        <w:rPr>
          <w:rFonts w:cs="宋体" w:eastAsia="宋体"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color w:val="auto"/>
        </w:rPr>
        <w:t>OFFRES DE SERVICES ET SOINS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_Toc225355716 \h </w:instrText>
      </w:r>
      <w:r>
        <w:rPr>
          <w:webHidden/>
        </w:rPr>
        <w:fldChar w:fldCharType="separate"/>
      </w:r>
      <w:r>
        <w:rPr>
          <w:webHidden/>
        </w:rPr>
        <w:t>34</w:t>
      </w:r>
      <w:r>
        <w:rPr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"_Toc225355717" </w:instrText>
      </w:r>
      <w:r>
        <w:rPr/>
        <w:fldChar w:fldCharType="separate"/>
      </w:r>
      <w:r>
        <w:rPr>
          <w:rStyle w:val="style85"/>
          <w:noProof/>
          <w:color w:val="auto"/>
        </w:rPr>
        <w:t>8.1</w:t>
      </w:r>
      <w:r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Infrastructures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_Toc225355717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34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"_Toc225355718" </w:instrText>
      </w:r>
      <w:r>
        <w:rPr/>
        <w:fldChar w:fldCharType="separate"/>
      </w:r>
      <w:r>
        <w:rPr>
          <w:rStyle w:val="style85"/>
          <w:noProof/>
          <w:color w:val="auto"/>
        </w:rPr>
        <w:t>8.2</w:t>
      </w:r>
      <w:r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Equipements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_Toc225355718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34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19"/>
        <w:rPr>
          <w:rFonts w:cs="宋体" w:eastAsia="宋体"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"_Toc225355719" </w:instrText>
      </w:r>
      <w:r>
        <w:rPr/>
        <w:fldChar w:fldCharType="separate"/>
      </w:r>
      <w:r>
        <w:rPr>
          <w:rStyle w:val="style85"/>
          <w:color w:val="auto"/>
        </w:rPr>
        <w:t>9</w:t>
      </w:r>
      <w:r>
        <w:rPr>
          <w:rFonts w:cs="宋体" w:eastAsia="宋体"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color w:val="auto"/>
        </w:rPr>
        <w:t>RÉFÉRENCE CONTRE RÉFÉRENCE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_Toc225355719 \h </w:instrText>
      </w:r>
      <w:r>
        <w:rPr>
          <w:webHidden/>
        </w:rPr>
        <w:fldChar w:fldCharType="separate"/>
      </w:r>
      <w:r>
        <w:rPr>
          <w:webHidden/>
        </w:rPr>
        <w:t>34</w:t>
      </w:r>
      <w:r>
        <w:rPr>
          <w:webHidden/>
        </w:rPr>
        <w:fldChar w:fldCharType="end"/>
      </w:r>
      <w:r>
        <w:rPr/>
        <w:fldChar w:fldCharType="end"/>
      </w:r>
    </w:p>
    <w:p>
      <w:pPr>
        <w:pStyle w:val="style19"/>
        <w:rPr>
          <w:rFonts w:cs="宋体" w:eastAsia="宋体"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"_Toc225355720" </w:instrText>
      </w:r>
      <w:r>
        <w:rPr/>
        <w:fldChar w:fldCharType="separate"/>
      </w:r>
      <w:r>
        <w:rPr>
          <w:rStyle w:val="style85"/>
          <w:color w:val="auto"/>
        </w:rPr>
        <w:t>10</w:t>
      </w:r>
      <w:r>
        <w:rPr>
          <w:rFonts w:cs="宋体" w:eastAsia="宋体"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color w:val="auto"/>
        </w:rPr>
        <w:t>PARTENARIAT ET DÉVELOPPEMENT DES RESSOURCES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_Toc225355720 \h </w:instrText>
      </w:r>
      <w:r>
        <w:rPr>
          <w:webHidden/>
        </w:rPr>
        <w:fldChar w:fldCharType="separate"/>
      </w:r>
      <w:r>
        <w:rPr>
          <w:webHidden/>
        </w:rPr>
        <w:t>34</w:t>
      </w:r>
      <w:r>
        <w:rPr>
          <w:webHidden/>
        </w:rPr>
        <w:fldChar w:fldCharType="end"/>
      </w:r>
      <w:r>
        <w:rPr/>
        <w:fldChar w:fldCharType="end"/>
      </w:r>
    </w:p>
    <w:p>
      <w:pPr>
        <w:pStyle w:val="style19"/>
        <w:rPr>
          <w:rFonts w:cs="宋体" w:eastAsia="宋体"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"_Toc225355721" </w:instrText>
      </w:r>
      <w:r>
        <w:rPr/>
        <w:fldChar w:fldCharType="separate"/>
      </w:r>
      <w:r>
        <w:rPr>
          <w:rStyle w:val="style85"/>
          <w:color w:val="auto"/>
        </w:rPr>
        <w:t>11</w:t>
      </w:r>
      <w:r>
        <w:rPr>
          <w:rFonts w:cs="宋体" w:eastAsia="宋体"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color w:val="auto"/>
        </w:rPr>
        <w:t>PROCESSUS GESTIONNAIRE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_Toc225355721 \h </w:instrText>
      </w:r>
      <w:r>
        <w:rPr>
          <w:webHidden/>
        </w:rPr>
        <w:fldChar w:fldCharType="separate"/>
      </w:r>
      <w:r>
        <w:rPr>
          <w:webHidden/>
        </w:rPr>
        <w:t>35</w:t>
      </w:r>
      <w:r>
        <w:rPr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"_Toc225355722" </w:instrText>
      </w:r>
      <w:r>
        <w:rPr/>
        <w:fldChar w:fldCharType="separate"/>
      </w:r>
      <w:r>
        <w:rPr>
          <w:rStyle w:val="style85"/>
          <w:noProof/>
          <w:color w:val="auto"/>
        </w:rPr>
        <w:t>11.1</w:t>
      </w:r>
      <w:r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Système d’information sanitaire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_Toc225355722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35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"_Toc225355723" </w:instrText>
      </w:r>
      <w:r>
        <w:rPr/>
        <w:fldChar w:fldCharType="separate"/>
      </w:r>
      <w:r>
        <w:rPr>
          <w:rStyle w:val="style85"/>
          <w:noProof/>
          <w:color w:val="auto"/>
        </w:rPr>
        <w:t>11.2</w:t>
      </w:r>
      <w:r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Planification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_Toc225355723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35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"_Toc225355724" </w:instrText>
      </w:r>
      <w:r>
        <w:rPr/>
        <w:fldChar w:fldCharType="separate"/>
      </w:r>
      <w:r>
        <w:rPr>
          <w:rStyle w:val="style85"/>
          <w:noProof/>
          <w:color w:val="auto"/>
        </w:rPr>
        <w:t>11.3</w:t>
      </w:r>
      <w:r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Coordination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_Toc225355724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35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20"/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"_Toc225355725" </w:instrText>
      </w:r>
      <w:r>
        <w:rPr/>
        <w:fldChar w:fldCharType="separate"/>
      </w:r>
      <w:r>
        <w:rPr>
          <w:rStyle w:val="style85"/>
          <w:noProof/>
          <w:color w:val="auto"/>
        </w:rPr>
        <w:t>11.4</w:t>
      </w:r>
      <w:r>
        <w:rPr>
          <w:rFonts w:ascii="Calibri" w:cs="宋体" w:eastAsia="宋体" w:hAnsi="Calibri"/>
          <w:b w:val="false"/>
          <w:bCs w:val="false"/>
          <w:noProof/>
          <w:kern w:val="2"/>
          <w:sz w:val="24"/>
          <w:szCs w:val="24"/>
          <w14:ligatures xmlns:w14="http://schemas.microsoft.com/office/word/2010/wordml" w14:val="standardContextual"/>
        </w:rPr>
        <w:tab/>
      </w:r>
      <w:r>
        <w:rPr>
          <w:rStyle w:val="style85"/>
          <w:noProof/>
          <w:color w:val="auto"/>
        </w:rPr>
        <w:t>Supervision</w:t>
      </w:r>
      <w:r>
        <w:rPr>
          <w:noProof/>
          <w:webHidden/>
        </w:rPr>
        <w:tab/>
      </w:r>
      <w:r>
        <w:rPr>
          <w:noProof/>
          <w:webHidden/>
        </w:rPr>
        <w:fldChar w:fldCharType="begin"/>
      </w:r>
      <w:r>
        <w:rPr>
          <w:noProof/>
          <w:webHidden/>
        </w:rPr>
        <w:instrText xml:space="preserve"> PAGEREF _Toc225355725 \h </w:instrText>
      </w:r>
      <w:r>
        <w:rPr>
          <w:noProof/>
          <w:webHidden/>
        </w:rPr>
        <w:fldChar w:fldCharType="separate"/>
      </w:r>
      <w:r>
        <w:rPr>
          <w:noProof/>
          <w:webHidden/>
        </w:rPr>
        <w:t>35</w:t>
      </w:r>
      <w:r>
        <w:rPr>
          <w:noProof/>
          <w:webHidden/>
        </w:rPr>
        <w:fldChar w:fldCharType="end"/>
      </w:r>
      <w:r>
        <w:rPr/>
        <w:fldChar w:fldCharType="end"/>
      </w:r>
    </w:p>
    <w:p>
      <w:pPr>
        <w:pStyle w:val="style19"/>
        <w:rPr>
          <w:rFonts w:cs="宋体" w:eastAsia="宋体"/>
          <w:kern w:val="2"/>
          <w:sz w:val="24"/>
          <w:szCs w:val="24"/>
          <w14:ligatures xmlns:w14="http://schemas.microsoft.com/office/word/2010/wordml" w14:val="standardContextual"/>
        </w:rPr>
      </w:pPr>
      <w:r>
        <w:rPr/>
        <w:fldChar w:fldCharType="begin"/>
      </w:r>
      <w:r>
        <w:instrText xml:space="preserve"> HYPERLINK \l "_Toc225355726" </w:instrText>
      </w:r>
      <w:r>
        <w:rPr/>
        <w:fldChar w:fldCharType="separate"/>
      </w:r>
      <w:r>
        <w:rPr>
          <w:rStyle w:val="style85"/>
          <w:color w:val="auto"/>
          <w:lang w:eastAsia="en-US"/>
        </w:rPr>
        <w:t>CONCLUSION</w:t>
      </w:r>
      <w:r>
        <w:rPr>
          <w:webHidden/>
        </w:rPr>
        <w:tab/>
      </w:r>
      <w:r>
        <w:rPr>
          <w:webHidden/>
        </w:rPr>
        <w:fldChar w:fldCharType="begin"/>
      </w:r>
      <w:r>
        <w:rPr>
          <w:webHidden/>
        </w:rPr>
        <w:instrText xml:space="preserve"> PAGEREF _Toc225355726 \h </w:instrText>
      </w:r>
      <w:r>
        <w:rPr>
          <w:webHidden/>
        </w:rPr>
        <w:fldChar w:fldCharType="separate"/>
      </w:r>
      <w:r>
        <w:rPr>
          <w:webHidden/>
        </w:rPr>
        <w:t>35</w:t>
      </w:r>
      <w:r>
        <w:rPr>
          <w:webHidden/>
        </w:rPr>
        <w:fldChar w:fldCharType="end"/>
      </w:r>
      <w:r>
        <w:rPr/>
        <w:fldChar w:fldCharType="end"/>
      </w:r>
    </w:p>
    <w:p>
      <w:pPr>
        <w:pStyle w:val="style19"/>
        <w:rPr>
          <w:highlight w:val="yellow"/>
        </w:rPr>
      </w:pPr>
      <w:r>
        <w:rPr>
          <w:highlight w:val="yellow"/>
        </w:rPr>
        <w:fldChar w:fldCharType="end"/>
      </w:r>
    </w:p>
    <w:p>
      <w:pPr>
        <w:pStyle w:val="style0"/>
        <w:jc w:val="both"/>
        <w:rPr>
          <w:rFonts w:ascii="Verdana" w:cs="Arial" w:hAnsi="Verdana"/>
          <w:b/>
          <w:highlight w:val="yellow"/>
        </w:rPr>
      </w:pPr>
    </w:p>
    <w:p>
      <w:pPr>
        <w:pStyle w:val="style0"/>
        <w:jc w:val="both"/>
        <w:rPr>
          <w:rFonts w:ascii="Verdana" w:cs="Arial" w:hAnsi="Verdana"/>
          <w:b/>
          <w:highlight w:val="yellow"/>
        </w:rPr>
      </w:pPr>
    </w:p>
    <w:p>
      <w:pPr>
        <w:pStyle w:val="style0"/>
        <w:jc w:val="both"/>
        <w:rPr>
          <w:rFonts w:ascii="Verdana" w:cs="Arial" w:hAnsi="Verdana"/>
          <w:b/>
          <w:highlight w:val="yellow"/>
        </w:rPr>
      </w:pPr>
    </w:p>
    <w:p>
      <w:pPr>
        <w:pStyle w:val="style0"/>
        <w:jc w:val="both"/>
        <w:rPr>
          <w:rFonts w:ascii="Verdana" w:cs="Arial" w:hAnsi="Verdana"/>
          <w:b/>
          <w:highlight w:val="yellow"/>
        </w:rPr>
      </w:pPr>
    </w:p>
    <w:p>
      <w:pPr>
        <w:pStyle w:val="style0"/>
        <w:jc w:val="both"/>
        <w:rPr>
          <w:rFonts w:ascii="Verdana" w:cs="Arial" w:hAnsi="Verdana"/>
          <w:b/>
          <w:highlight w:val="yellow"/>
        </w:rPr>
      </w:pPr>
    </w:p>
    <w:p>
      <w:pPr>
        <w:pStyle w:val="style0"/>
        <w:jc w:val="both"/>
        <w:rPr>
          <w:rFonts w:ascii="Verdana" w:cs="Arial" w:hAnsi="Verdana"/>
          <w:b/>
          <w:highlight w:val="yellow"/>
        </w:rPr>
      </w:pPr>
    </w:p>
    <w:p>
      <w:pPr>
        <w:pStyle w:val="style0"/>
        <w:jc w:val="both"/>
        <w:rPr>
          <w:rFonts w:ascii="Verdana" w:cs="Arial" w:hAnsi="Verdana"/>
          <w:b/>
          <w:highlight w:val="yellow"/>
        </w:rPr>
      </w:pPr>
    </w:p>
    <w:p>
      <w:pPr>
        <w:pStyle w:val="style0"/>
        <w:jc w:val="both"/>
        <w:rPr>
          <w:rFonts w:ascii="Verdana" w:cs="Arial" w:hAnsi="Verdana"/>
          <w:b/>
          <w:highlight w:val="yellow"/>
        </w:rPr>
      </w:pPr>
    </w:p>
    <w:p>
      <w:pPr>
        <w:pStyle w:val="style0"/>
        <w:jc w:val="both"/>
        <w:rPr>
          <w:rFonts w:ascii="Verdana" w:cs="Arial" w:hAnsi="Verdana"/>
          <w:b/>
          <w:highlight w:val="yellow"/>
        </w:rPr>
      </w:pPr>
    </w:p>
    <w:p>
      <w:pPr>
        <w:pStyle w:val="style0"/>
        <w:jc w:val="both"/>
        <w:rPr>
          <w:rFonts w:ascii="Verdana" w:cs="Arial" w:hAnsi="Verdana"/>
          <w:b/>
          <w:highlight w:val="yellow"/>
        </w:rPr>
      </w:pPr>
    </w:p>
    <w:p>
      <w:pPr>
        <w:pStyle w:val="style0"/>
        <w:jc w:val="both"/>
        <w:rPr>
          <w:rFonts w:ascii="Verdana" w:cs="Arial" w:hAnsi="Verdana"/>
          <w:b/>
          <w:highlight w:val="yellow"/>
        </w:rPr>
      </w:pPr>
    </w:p>
    <w:p>
      <w:pPr>
        <w:pStyle w:val="style0"/>
        <w:jc w:val="both"/>
        <w:rPr>
          <w:rFonts w:ascii="Verdana" w:cs="Arial" w:hAnsi="Verdana"/>
          <w:b/>
          <w:highlight w:val="yellow"/>
        </w:rPr>
      </w:pPr>
    </w:p>
    <w:p>
      <w:pPr>
        <w:pStyle w:val="style0"/>
        <w:jc w:val="both"/>
        <w:rPr>
          <w:rFonts w:ascii="Verdana" w:cs="Arial" w:hAnsi="Verdana"/>
          <w:b/>
          <w:highlight w:val="yellow"/>
        </w:rPr>
      </w:pPr>
    </w:p>
    <w:bookmarkStart w:id="6" w:name="_Toc225355673"/>
    <w:p>
      <w:pPr>
        <w:pStyle w:val="style1"/>
        <w:numPr>
          <w:ilvl w:val="0"/>
          <w:numId w:val="0"/>
        </w:numPr>
        <w:ind w:left="432" w:hanging="432"/>
        <w:rPr/>
      </w:pPr>
      <w:r>
        <w:t>ABREVIATIONS</w:t>
      </w:r>
      <w:bookmarkEnd w:id="6"/>
    </w:p>
    <w:p>
      <w:pPr>
        <w:pStyle w:val="style0"/>
        <w:jc w:val="both"/>
        <w:rPr>
          <w:rFonts w:ascii="Verdana" w:cs="Arial" w:hAnsi="Verdana"/>
          <w:b/>
          <w:sz w:val="24"/>
          <w:szCs w:val="24"/>
        </w:rPr>
      </w:pPr>
    </w:p>
    <w:p>
      <w:pPr>
        <w:pStyle w:val="style0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b/>
          <w:bCs/>
          <w:sz w:val="24"/>
          <w:szCs w:val="24"/>
        </w:rPr>
        <w:t>C</w:t>
      </w:r>
      <w:r>
        <w:rPr>
          <w:rFonts w:ascii="Verdana" w:cs="Arial" w:hAnsi="Verdana"/>
          <w:b/>
          <w:bCs/>
          <w:sz w:val="24"/>
          <w:szCs w:val="24"/>
        </w:rPr>
        <w:t>HRM</w:t>
      </w:r>
      <w:r>
        <w:rPr>
          <w:rFonts w:ascii="Verdana" w:cs="Arial" w:hAnsi="Verdana"/>
          <w:sz w:val="24"/>
          <w:szCs w:val="24"/>
        </w:rPr>
        <w:t xml:space="preserve"> : </w:t>
      </w:r>
      <w:r>
        <w:rPr>
          <w:rFonts w:ascii="Verdana" w:cs="Arial" w:hAnsi="Verdana"/>
          <w:sz w:val="24"/>
          <w:szCs w:val="24"/>
        </w:rPr>
        <w:t xml:space="preserve">Centre </w:t>
      </w:r>
      <w:r>
        <w:rPr>
          <w:rFonts w:ascii="Verdana" w:cs="Arial" w:hAnsi="Verdana"/>
          <w:sz w:val="24"/>
          <w:szCs w:val="24"/>
        </w:rPr>
        <w:t>H</w:t>
      </w:r>
      <w:r>
        <w:rPr>
          <w:rFonts w:ascii="Verdana" w:cs="Arial" w:hAnsi="Verdana"/>
          <w:sz w:val="24"/>
          <w:szCs w:val="24"/>
        </w:rPr>
        <w:t>os</w:t>
      </w:r>
      <w:r>
        <w:rPr>
          <w:rFonts w:ascii="Verdana" w:cs="Arial" w:hAnsi="Verdana"/>
          <w:sz w:val="24"/>
          <w:szCs w:val="24"/>
        </w:rPr>
        <w:t>pital</w:t>
      </w:r>
      <w:r>
        <w:rPr>
          <w:rFonts w:ascii="Verdana" w:cs="Arial" w:hAnsi="Verdana"/>
          <w:sz w:val="24"/>
          <w:szCs w:val="24"/>
        </w:rPr>
        <w:t>ier</w:t>
      </w:r>
      <w:r>
        <w:rPr>
          <w:rFonts w:ascii="Verdana" w:cs="Arial" w:hAnsi="Verdana"/>
          <w:sz w:val="24"/>
          <w:szCs w:val="24"/>
        </w:rPr>
        <w:t xml:space="preserve"> Régional de Maroua </w:t>
      </w:r>
    </w:p>
    <w:p>
      <w:pPr>
        <w:pStyle w:val="style0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b/>
          <w:bCs/>
          <w:sz w:val="24"/>
          <w:szCs w:val="24"/>
        </w:rPr>
        <w:t>PCI </w:t>
      </w:r>
      <w:r>
        <w:rPr>
          <w:rFonts w:ascii="Verdana" w:cs="Arial" w:hAnsi="Verdana"/>
          <w:sz w:val="24"/>
          <w:szCs w:val="24"/>
        </w:rPr>
        <w:t>: Prévention et Contrôle des Infections</w:t>
      </w:r>
    </w:p>
    <w:p>
      <w:pPr>
        <w:pStyle w:val="style0"/>
        <w:rPr>
          <w:rFonts w:ascii="Verdana" w:cs="Arial" w:hAnsi="Verdana"/>
          <w:sz w:val="24"/>
          <w:szCs w:val="24"/>
        </w:rPr>
      </w:pPr>
      <w:r>
        <w:rPr>
          <w:rFonts w:ascii="Verdana" w:cs="Arial" w:eastAsia="Calibri" w:hAnsi="Verdana"/>
          <w:b/>
          <w:bCs/>
          <w:sz w:val="24"/>
          <w:szCs w:val="24"/>
          <w:lang w:eastAsia="en-US"/>
        </w:rPr>
        <w:t>CME</w:t>
      </w:r>
      <w:r>
        <w:rPr>
          <w:rFonts w:ascii="Verdana" w:cs="Arial" w:eastAsia="Calibri" w:hAnsi="Verdana"/>
          <w:sz w:val="24"/>
          <w:szCs w:val="24"/>
          <w:lang w:eastAsia="en-US"/>
        </w:rPr>
        <w:t xml:space="preserve"> : Commission Médicale d'Établissement </w:t>
      </w:r>
    </w:p>
    <w:p>
      <w:pPr>
        <w:pStyle w:val="style0"/>
        <w:rPr>
          <w:rFonts w:ascii="Verdana" w:hAnsi="Verdana"/>
          <w:bCs/>
          <w:color w:val="000000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CPN</w:t>
      </w:r>
      <w:r>
        <w:rPr>
          <w:rFonts w:ascii="Verdana" w:hAnsi="Verdana"/>
          <w:bCs/>
          <w:sz w:val="24"/>
          <w:szCs w:val="24"/>
        </w:rPr>
        <w:t xml:space="preserve"> : </w:t>
      </w:r>
      <w:r>
        <w:rPr>
          <w:rFonts w:ascii="Verdana" w:hAnsi="Verdana"/>
          <w:bCs/>
          <w:color w:val="000000"/>
          <w:sz w:val="24"/>
          <w:szCs w:val="24"/>
        </w:rPr>
        <w:t>Consultation Prénatale</w:t>
      </w:r>
    </w:p>
    <w:p>
      <w:pPr>
        <w:pStyle w:val="style0"/>
        <w:rPr>
          <w:rFonts w:ascii="Verdana" w:hAnsi="Verdana"/>
          <w:bCs/>
          <w:color w:val="000000"/>
          <w:sz w:val="24"/>
          <w:szCs w:val="24"/>
        </w:rPr>
      </w:pPr>
      <w:r>
        <w:rPr>
          <w:rFonts w:ascii="Verdana" w:hAnsi="Verdana"/>
          <w:b/>
          <w:color w:val="000000"/>
          <w:sz w:val="24"/>
          <w:szCs w:val="24"/>
        </w:rPr>
        <w:t>PTME</w:t>
      </w:r>
      <w:r>
        <w:rPr>
          <w:rFonts w:ascii="Verdana" w:hAnsi="Verdana"/>
          <w:bCs/>
          <w:color w:val="000000"/>
          <w:sz w:val="24"/>
          <w:szCs w:val="24"/>
        </w:rPr>
        <w:t> : Prévention de la transmission du VIH de la Mère-à l’Enfant</w:t>
      </w:r>
    </w:p>
    <w:p>
      <w:pPr>
        <w:pStyle w:val="style0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CPON</w:t>
      </w:r>
      <w:r>
        <w:rPr>
          <w:rFonts w:ascii="Verdana" w:hAnsi="Verdana"/>
          <w:bCs/>
          <w:sz w:val="24"/>
          <w:szCs w:val="24"/>
        </w:rPr>
        <w:t xml:space="preserve"> : Consultation Postnatale</w:t>
      </w:r>
    </w:p>
    <w:p>
      <w:pPr>
        <w:pStyle w:val="style0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IAO</w:t>
      </w:r>
      <w:r>
        <w:rPr>
          <w:rFonts w:ascii="Verdana" w:hAnsi="Verdana"/>
          <w:bCs/>
          <w:sz w:val="24"/>
          <w:szCs w:val="24"/>
        </w:rPr>
        <w:t> : Infirmière d’Accueil et d’Orientation</w:t>
      </w:r>
    </w:p>
    <w:p>
      <w:pPr>
        <w:pStyle w:val="style0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PF</w:t>
      </w:r>
      <w:r>
        <w:rPr>
          <w:rFonts w:ascii="Verdana" w:hAnsi="Verdana"/>
          <w:bCs/>
          <w:sz w:val="24"/>
          <w:szCs w:val="24"/>
        </w:rPr>
        <w:t xml:space="preserve"> : Planification Familiale</w:t>
      </w:r>
    </w:p>
    <w:p>
      <w:pPr>
        <w:pStyle w:val="style0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b/>
          <w:bCs/>
          <w:sz w:val="24"/>
          <w:szCs w:val="24"/>
        </w:rPr>
        <w:t>FEC</w:t>
      </w:r>
      <w:r>
        <w:rPr>
          <w:rFonts w:ascii="Verdana" w:cs="Arial" w:hAnsi="Verdana"/>
          <w:sz w:val="24"/>
          <w:szCs w:val="24"/>
        </w:rPr>
        <w:t xml:space="preserve"> : Femme Enceinte</w:t>
      </w:r>
    </w:p>
    <w:p>
      <w:pPr>
        <w:pStyle w:val="style0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b/>
          <w:bCs/>
          <w:sz w:val="24"/>
          <w:szCs w:val="24"/>
        </w:rPr>
        <w:t>MILDA</w:t>
      </w:r>
      <w:r>
        <w:rPr>
          <w:rFonts w:ascii="Verdana" w:cs="Arial" w:hAnsi="Verdana"/>
          <w:sz w:val="24"/>
          <w:szCs w:val="24"/>
        </w:rPr>
        <w:t xml:space="preserve"> : Moustiquaire Imprégnée de Longue Durée d’Action</w:t>
      </w:r>
    </w:p>
    <w:p>
      <w:pPr>
        <w:pStyle w:val="style0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b/>
          <w:bCs/>
          <w:sz w:val="24"/>
          <w:szCs w:val="24"/>
        </w:rPr>
        <w:t>GEU</w:t>
      </w:r>
      <w:r>
        <w:rPr>
          <w:rFonts w:ascii="Verdana" w:cs="Arial" w:hAnsi="Verdana"/>
          <w:sz w:val="24"/>
          <w:szCs w:val="24"/>
        </w:rPr>
        <w:t xml:space="preserve"> : Grossesse Extra Utérine</w:t>
      </w:r>
    </w:p>
    <w:p>
      <w:pPr>
        <w:pStyle w:val="style0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b/>
          <w:bCs/>
          <w:sz w:val="24"/>
          <w:szCs w:val="24"/>
        </w:rPr>
        <w:t>GEUR</w:t>
      </w:r>
      <w:r>
        <w:rPr>
          <w:rFonts w:ascii="Verdana" w:cs="Arial" w:hAnsi="Verdana"/>
          <w:sz w:val="24"/>
          <w:szCs w:val="24"/>
        </w:rPr>
        <w:t xml:space="preserve"> : Grossesse Extra Utérine Rompue</w:t>
      </w:r>
    </w:p>
    <w:p>
      <w:pPr>
        <w:pStyle w:val="style0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b/>
          <w:bCs/>
          <w:sz w:val="24"/>
          <w:szCs w:val="24"/>
        </w:rPr>
        <w:t>PEC</w:t>
      </w:r>
      <w:r>
        <w:rPr>
          <w:rFonts w:ascii="Verdana" w:cs="Arial" w:hAnsi="Verdana"/>
          <w:sz w:val="24"/>
          <w:szCs w:val="24"/>
        </w:rPr>
        <w:t> : Prise En Charge</w:t>
      </w:r>
    </w:p>
    <w:p>
      <w:pPr>
        <w:pStyle w:val="style0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b/>
          <w:bCs/>
          <w:sz w:val="24"/>
          <w:szCs w:val="24"/>
        </w:rPr>
        <w:t>PEV</w:t>
      </w:r>
      <w:r>
        <w:rPr>
          <w:rFonts w:ascii="Verdana" w:cs="Arial" w:hAnsi="Verdana"/>
          <w:sz w:val="24"/>
          <w:szCs w:val="24"/>
        </w:rPr>
        <w:t xml:space="preserve"> : Programme </w:t>
      </w:r>
      <w:r>
        <w:rPr>
          <w:rFonts w:ascii="Verdana" w:cs="Arial" w:hAnsi="Verdana"/>
          <w:sz w:val="24"/>
          <w:szCs w:val="24"/>
        </w:rPr>
        <w:t>Élargie</w:t>
      </w:r>
      <w:r>
        <w:rPr>
          <w:rFonts w:ascii="Verdana" w:cs="Arial" w:hAnsi="Verdana"/>
          <w:sz w:val="24"/>
          <w:szCs w:val="24"/>
        </w:rPr>
        <w:t xml:space="preserve"> de Vaccination</w:t>
      </w:r>
    </w:p>
    <w:p>
      <w:pPr>
        <w:pStyle w:val="style0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b/>
          <w:sz w:val="24"/>
          <w:szCs w:val="24"/>
        </w:rPr>
        <w:t>CTA </w:t>
      </w:r>
      <w:r>
        <w:rPr>
          <w:rFonts w:ascii="Verdana" w:cs="Arial" w:hAnsi="Verdana"/>
          <w:sz w:val="24"/>
          <w:szCs w:val="24"/>
        </w:rPr>
        <w:t>: Centre de Traitement Agréé</w:t>
      </w:r>
    </w:p>
    <w:p>
      <w:pPr>
        <w:pStyle w:val="style0"/>
        <w:jc w:val="both"/>
        <w:rPr>
          <w:rFonts w:ascii="Verdana" w:cs="Arial" w:hAnsi="Verdana"/>
          <w:b/>
          <w:highlight w:val="yellow"/>
        </w:rPr>
      </w:pPr>
    </w:p>
    <w:p>
      <w:pPr>
        <w:pStyle w:val="style0"/>
        <w:jc w:val="both"/>
        <w:rPr>
          <w:rFonts w:ascii="Verdana" w:cs="Arial" w:hAnsi="Verdana"/>
          <w:b/>
          <w:highlight w:val="yellow"/>
        </w:rPr>
      </w:pPr>
    </w:p>
    <w:p>
      <w:pPr>
        <w:pStyle w:val="style0"/>
        <w:jc w:val="both"/>
        <w:rPr>
          <w:rFonts w:ascii="Verdana" w:cs="Arial" w:hAnsi="Verdana"/>
          <w:b/>
          <w:highlight w:val="yellow"/>
        </w:rPr>
      </w:pPr>
    </w:p>
    <w:p>
      <w:pPr>
        <w:pStyle w:val="style0"/>
        <w:jc w:val="both"/>
        <w:rPr>
          <w:rFonts w:ascii="Verdana" w:cs="Arial" w:hAnsi="Verdana"/>
          <w:b/>
          <w:highlight w:val="yellow"/>
        </w:rPr>
      </w:pPr>
    </w:p>
    <w:p>
      <w:pPr>
        <w:pStyle w:val="style0"/>
        <w:jc w:val="both"/>
        <w:rPr>
          <w:rFonts w:ascii="Verdana" w:cs="Arial" w:hAnsi="Verdana"/>
          <w:b/>
          <w:highlight w:val="yellow"/>
        </w:rPr>
      </w:pPr>
    </w:p>
    <w:p>
      <w:pPr>
        <w:pStyle w:val="style0"/>
        <w:jc w:val="both"/>
        <w:rPr>
          <w:rFonts w:ascii="Verdana" w:cs="Arial" w:hAnsi="Verdana"/>
          <w:b/>
          <w:highlight w:val="yellow"/>
        </w:rPr>
      </w:pPr>
    </w:p>
    <w:p>
      <w:pPr>
        <w:pStyle w:val="style0"/>
        <w:jc w:val="both"/>
        <w:rPr>
          <w:rFonts w:ascii="Verdana" w:cs="Arial" w:hAnsi="Verdana"/>
          <w:b/>
          <w:highlight w:val="yellow"/>
        </w:rPr>
      </w:pPr>
    </w:p>
    <w:p>
      <w:pPr>
        <w:pStyle w:val="style0"/>
        <w:jc w:val="both"/>
        <w:rPr>
          <w:rFonts w:ascii="Verdana" w:cs="Arial" w:hAnsi="Verdana"/>
          <w:b/>
          <w:highlight w:val="yellow"/>
        </w:rPr>
      </w:pPr>
    </w:p>
    <w:p>
      <w:pPr>
        <w:pStyle w:val="style1"/>
        <w:numPr>
          <w:ilvl w:val="0"/>
          <w:numId w:val="0"/>
        </w:numPr>
        <w:rPr>
          <w:rFonts w:ascii="Verdana" w:cs="Arial" w:eastAsia="宋体" w:hAnsi="Verdana"/>
          <w:bCs w:val="false"/>
          <w:color w:val="auto"/>
          <w:sz w:val="22"/>
          <w:szCs w:val="22"/>
          <w:u w:val="none"/>
          <w:lang w:val="fr-CM"/>
        </w:rPr>
      </w:pPr>
    </w:p>
    <w:p>
      <w:pPr>
        <w:pStyle w:val="style0"/>
        <w:rPr/>
      </w:pPr>
    </w:p>
    <w:bookmarkStart w:id="7" w:name="_Toc225355674"/>
    <w:p>
      <w:pPr>
        <w:pStyle w:val="style1"/>
        <w:numPr>
          <w:ilvl w:val="0"/>
          <w:numId w:val="0"/>
        </w:numPr>
        <w:rPr>
          <w:rFonts w:ascii="Verdana" w:hAnsi="Verdana"/>
          <w:sz w:val="32"/>
          <w:szCs w:val="32"/>
        </w:rPr>
      </w:pPr>
      <w:r>
        <w:rPr>
          <w:rFonts w:ascii="Verdana" w:hAnsi="Verdana"/>
          <w:noProof/>
          <w:sz w:val="32"/>
          <w:szCs w:val="32"/>
          <w:lang w:val="fr-FR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325120</wp:posOffset>
                </wp:positionH>
                <wp:positionV relativeFrom="paragraph">
                  <wp:posOffset>169545</wp:posOffset>
                </wp:positionV>
                <wp:extent cx="408940" cy="269874"/>
                <wp:effectExtent l="0" t="0" r="0" b="0"/>
                <wp:wrapNone/>
                <wp:docPr id="1033" name="Text Box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8940" cy="269874"/>
                        </a:xfrm>
                        <a:prstGeom prst="rect"/>
                        <a:ln>
                          <a:noFill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3" filled="f" stroked="f" style="position:absolute;margin-left:25.6pt;margin-top:13.35pt;width:32.2pt;height:21.25pt;z-index:5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Verdana" w:hAnsi="Verdana"/>
          <w:sz w:val="32"/>
          <w:szCs w:val="32"/>
        </w:rPr>
        <w:t>LE MOT DU DIRECTEUR</w:t>
      </w:r>
      <w:bookmarkEnd w:id="7"/>
      <w:r>
        <w:rPr>
          <w:rFonts w:ascii="Verdana" w:hAnsi="Verdana"/>
          <w:sz w:val="32"/>
          <w:szCs w:val="32"/>
        </w:rPr>
        <w:t xml:space="preserve">   </w:t>
      </w:r>
    </w:p>
    <w:p>
      <w:pPr>
        <w:pStyle w:val="style0"/>
        <w:spacing w:after="0"/>
        <w:jc w:val="both"/>
        <w:rPr>
          <w:rFonts w:ascii="Verdana" w:cs="Arial" w:hAnsi="Verdana"/>
          <w:bCs/>
        </w:rPr>
      </w:pPr>
      <w:r>
        <w:rPr>
          <w:rFonts w:ascii="Verdana" w:cs="Arial" w:hAnsi="Verdana"/>
          <w:bCs/>
          <w:noProof/>
          <w:lang w:val="fr-FR"/>
        </w:rPr>
        <mc:AlternateContent>
          <mc:Choice Requires="wps">
            <w:drawing>
              <wp:anchor distT="45720" distB="45720" distL="114300" distR="114300" simplePos="false" relativeHeight="6" behindDoc="false" locked="false" layoutInCell="true" allowOverlap="true">
                <wp:simplePos x="0" y="0"/>
                <wp:positionH relativeFrom="margin">
                  <wp:align>left</wp:align>
                </wp:positionH>
                <wp:positionV relativeFrom="paragraph">
                  <wp:posOffset>130224</wp:posOffset>
                </wp:positionV>
                <wp:extent cx="1356995" cy="1962149"/>
                <wp:effectExtent l="0" t="0" r="14605" b="19050"/>
                <wp:wrapSquare wrapText="bothSides"/>
                <wp:docPr id="1034" name="Zone de texte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356995" cy="1962149"/>
                        </a:xfrm>
                        <a:prstGeom prst="rect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rPr/>
                            </w:pPr>
                            <w:r>
                              <w:rPr>
                                <w:noProof/>
                                <w:lang w:val="fr-FR"/>
                              </w:rPr>
                              <w:drawing>
                                <wp:inline distL="0" distT="0" distB="0" distR="0">
                                  <wp:extent cx="1182313" cy="1857375"/>
                                  <wp:effectExtent l="0" t="0" r="0" b="0"/>
                                  <wp:docPr id="2049" name="Image 2090637190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 2090637190"/>
                                          <pic:cNvPicPr/>
                                        </pic:nvPicPr>
                                        <pic:blipFill>
                                          <a:blip r:embed="rId6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1182313" cy="1857375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4" fillcolor="white" stroked="t" style="position:absolute;margin-left:0.0pt;margin-top:10.25pt;width:106.85pt;height:154.5pt;z-index:6;mso-position-horizontal:left;mso-position-horizontal-relative:margin;mso-position-vertical-relative:text;mso-width-percent:0;mso-height-percent:0;mso-width-relative:margin;mso-height-relative:margin;mso-wrap-distance-top:3.6000001pt;mso-wrap-distance-bottom:3.6000001pt;visibility:visible;">
                <v:stroke joinstyle="miter"/>
                <w10:wrap type="square"/>
                <v:fill/>
                <v:textbox inset="7.2pt,3.6pt,7.2pt,3.6pt">
                  <w:txbxContent>
                    <w:p>
                      <w:pPr>
                        <w:pStyle w:val="style0"/>
                        <w:rPr/>
                      </w:pPr>
                      <w:r>
                        <w:rPr>
                          <w:noProof/>
                          <w:lang w:val="fr-FR"/>
                        </w:rPr>
                        <w:drawing>
                          <wp:inline distL="0" distT="0" distB="0" distR="0">
                            <wp:extent cx="1182313" cy="1857375"/>
                            <wp:effectExtent l="0" t="0" r="0" b="0"/>
                            <wp:docPr id="2049" name="Image 2090637190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 2090637190"/>
                                    <pic:cNvPicPr/>
                                  </pic:nvPicPr>
                                  <pic:blipFill>
                                    <a:blip r:embed="rId6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1182313" cy="1857375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Verdana" w:cs="Arial" w:hAnsi="Verdana"/>
          <w:bCs/>
        </w:rPr>
        <w:t>Le Centre Hospitalier Régional de Maroua (CHRM)</w:t>
      </w:r>
      <w:r>
        <w:rPr>
          <w:rFonts w:ascii="Verdana" w:cs="Arial" w:hAnsi="Verdana"/>
          <w:bCs/>
        </w:rPr>
        <w:t>, en attente d’inauguration officielle, a ouvert ses portes au public le 1</w:t>
      </w:r>
      <w:r>
        <w:rPr>
          <w:rFonts w:ascii="Verdana" w:cs="Arial" w:hAnsi="Verdana"/>
          <w:bCs/>
          <w:vertAlign w:val="superscript"/>
        </w:rPr>
        <w:t>er</w:t>
      </w:r>
      <w:r>
        <w:rPr>
          <w:rFonts w:ascii="Verdana" w:cs="Arial" w:hAnsi="Verdana"/>
          <w:bCs/>
        </w:rPr>
        <w:t xml:space="preserve"> octobre 2024. Dans un Système de Management de la Qualité, nous avons progressivement lancé les activités au point d’avoir en fin décembre 2025, pr</w:t>
      </w:r>
      <w:r>
        <w:rPr>
          <w:rFonts w:ascii="Verdana" w:cs="Arial" w:hAnsi="Verdana"/>
          <w:bCs/>
        </w:rPr>
        <w:t>atiquement</w:t>
      </w:r>
      <w:r>
        <w:rPr>
          <w:rFonts w:ascii="Verdana" w:cs="Arial" w:hAnsi="Verdana"/>
          <w:bCs/>
        </w:rPr>
        <w:t xml:space="preserve"> tous les services déjà fonctionnels.</w:t>
      </w:r>
      <w:r>
        <w:rPr>
          <w:rFonts w:ascii="Verdana" w:cs="Arial" w:hAnsi="Verdana"/>
          <w:bCs/>
        </w:rPr>
        <w:t xml:space="preserve"> Grâce à l’enthousiasme et l’engagement sans faille de l’ensemble du personnel, nous avons réussi à lever le défi. La </w:t>
      </w:r>
      <w:r>
        <w:rPr>
          <w:rFonts w:ascii="Verdana" w:cs="Arial" w:hAnsi="Verdana"/>
          <w:b/>
        </w:rPr>
        <w:t>CULTURE</w:t>
      </w:r>
      <w:r>
        <w:rPr>
          <w:rFonts w:ascii="Verdana" w:cs="Arial" w:hAnsi="Verdana"/>
          <w:b/>
        </w:rPr>
        <w:t xml:space="preserve"> QUALITE</w:t>
      </w:r>
      <w:r>
        <w:rPr>
          <w:rFonts w:ascii="Verdana" w:cs="Arial" w:hAnsi="Verdana"/>
          <w:bCs/>
        </w:rPr>
        <w:t xml:space="preserve"> se trouve aujourd’hui bie</w:t>
      </w:r>
      <w:r>
        <w:rPr>
          <w:rFonts w:ascii="Verdana" w:cs="Arial" w:hAnsi="Verdana"/>
          <w:bCs/>
        </w:rPr>
        <w:t>n</w:t>
      </w:r>
      <w:r>
        <w:rPr>
          <w:rFonts w:ascii="Verdana" w:cs="Arial" w:hAnsi="Verdana"/>
          <w:bCs/>
        </w:rPr>
        <w:t xml:space="preserve"> </w:t>
      </w:r>
      <w:r>
        <w:rPr>
          <w:rFonts w:ascii="Verdana" w:cs="Arial" w:hAnsi="Verdana"/>
          <w:bCs/>
        </w:rPr>
        <w:t>ancrée</w:t>
      </w:r>
      <w:r>
        <w:rPr>
          <w:rFonts w:ascii="Verdana" w:cs="Arial" w:hAnsi="Verdana"/>
          <w:bCs/>
        </w:rPr>
        <w:t xml:space="preserve"> dans les habitudes au point où nous sommes </w:t>
      </w:r>
      <w:r>
        <w:rPr>
          <w:rFonts w:ascii="Verdana" w:cs="Arial" w:hAnsi="Verdana"/>
          <w:bCs/>
        </w:rPr>
        <w:t>p</w:t>
      </w:r>
      <w:r>
        <w:rPr>
          <w:rFonts w:ascii="Verdana" w:cs="Arial" w:hAnsi="Verdana"/>
          <w:bCs/>
        </w:rPr>
        <w:t>arvenus</w:t>
      </w:r>
      <w:r>
        <w:rPr>
          <w:rFonts w:ascii="Verdana" w:cs="Arial" w:hAnsi="Verdana"/>
          <w:bCs/>
        </w:rPr>
        <w:t xml:space="preserve"> à la porte d’entrée de la certification ISO </w:t>
      </w:r>
      <w:r>
        <w:rPr>
          <w:rFonts w:ascii="Verdana" w:cs="Arial" w:hAnsi="Verdana"/>
          <w:bCs/>
        </w:rPr>
        <w:t>9001</w:t>
      </w:r>
      <w:r>
        <w:rPr>
          <w:rFonts w:ascii="Verdana" w:cs="Arial" w:hAnsi="Verdana"/>
          <w:bCs/>
          <w:color w:val="ee0000"/>
        </w:rPr>
        <w:t xml:space="preserve"> </w:t>
      </w:r>
      <w:r>
        <w:rPr>
          <w:rFonts w:ascii="Verdana" w:cs="Arial" w:hAnsi="Verdana"/>
          <w:bCs/>
        </w:rPr>
        <w:t xml:space="preserve">: </w:t>
      </w:r>
      <w:r>
        <w:rPr>
          <w:rFonts w:ascii="Verdana" w:cs="Arial" w:hAnsi="Verdana"/>
          <w:bCs/>
        </w:rPr>
        <w:t>2015</w:t>
      </w:r>
      <w:r>
        <w:rPr>
          <w:rFonts w:ascii="Verdana" w:cs="Arial" w:hAnsi="Verdana"/>
          <w:bCs/>
        </w:rPr>
        <w:t xml:space="preserve">. </w:t>
      </w:r>
    </w:p>
    <w:p>
      <w:pPr>
        <w:pStyle w:val="style0"/>
        <w:tabs>
          <w:tab w:val="left" w:leader="none" w:pos="4187"/>
        </w:tabs>
        <w:spacing w:after="0"/>
        <w:jc w:val="both"/>
        <w:rPr>
          <w:rFonts w:ascii="Verdana" w:cs="Arial" w:hAnsi="Verdana"/>
          <w:color w:val="000000"/>
        </w:rPr>
      </w:pPr>
      <w:r>
        <w:rPr>
          <w:rFonts w:ascii="Verdana" w:cs="Arial" w:hAnsi="Verdana"/>
          <w:color w:val="000000"/>
        </w:rPr>
        <w:t xml:space="preserve">Depuis l’ouverture du Centre, </w:t>
      </w:r>
      <w:r>
        <w:rPr>
          <w:rFonts w:ascii="Verdana" w:cs="Arial" w:hAnsi="Verdana"/>
          <w:color w:val="000000"/>
        </w:rPr>
        <w:t>de nombreuses réalisations ont été enregistrées. A côté de tout le développement infrastructurel</w:t>
      </w:r>
      <w:r>
        <w:rPr>
          <w:rFonts w:ascii="Verdana" w:cs="Arial" w:hAnsi="Verdana"/>
          <w:color w:val="000000"/>
        </w:rPr>
        <w:t xml:space="preserve"> déjà en place</w:t>
      </w:r>
      <w:r>
        <w:rPr>
          <w:rFonts w:ascii="Verdana" w:cs="Arial" w:hAnsi="Verdana"/>
          <w:color w:val="000000"/>
        </w:rPr>
        <w:t xml:space="preserve">, </w:t>
      </w:r>
      <w:r>
        <w:rPr>
          <w:rFonts w:ascii="Verdana" w:cs="Arial" w:hAnsi="Verdana"/>
          <w:color w:val="000000"/>
        </w:rPr>
        <w:t>quelques</w:t>
      </w:r>
      <w:r>
        <w:rPr>
          <w:rFonts w:ascii="Verdana" w:cs="Arial" w:hAnsi="Verdana"/>
          <w:color w:val="000000"/>
        </w:rPr>
        <w:t xml:space="preserve"> équipements </w:t>
      </w:r>
      <w:r>
        <w:rPr>
          <w:rFonts w:ascii="Verdana" w:cs="Arial" w:hAnsi="Verdana"/>
          <w:color w:val="000000"/>
        </w:rPr>
        <w:t xml:space="preserve">complémentaires </w:t>
      </w:r>
      <w:r>
        <w:rPr>
          <w:rFonts w:ascii="Verdana" w:cs="Arial" w:hAnsi="Verdana"/>
          <w:color w:val="000000"/>
        </w:rPr>
        <w:t xml:space="preserve">ont été acquis et </w:t>
      </w:r>
      <w:r>
        <w:rPr>
          <w:rFonts w:ascii="Verdana" w:cs="Arial" w:hAnsi="Verdana"/>
          <w:color w:val="000000"/>
        </w:rPr>
        <w:t xml:space="preserve">toute une organisation a été </w:t>
      </w:r>
      <w:r>
        <w:rPr>
          <w:rFonts w:ascii="Verdana" w:cs="Arial" w:hAnsi="Verdana"/>
          <w:color w:val="000000"/>
        </w:rPr>
        <w:t>déployée</w:t>
      </w:r>
      <w:r>
        <w:rPr>
          <w:rFonts w:ascii="Verdana" w:cs="Arial" w:hAnsi="Verdana"/>
          <w:color w:val="000000"/>
        </w:rPr>
        <w:t>. Le chantier de digitalisation de l’hôpital est aujourd’hui assez avancé ; ainsi, la régie des recettes et la pharmacie sont presque complétement informatisées</w:t>
      </w:r>
      <w:r>
        <w:rPr>
          <w:rFonts w:ascii="Verdana" w:cs="Arial" w:hAnsi="Verdana"/>
          <w:color w:val="000000"/>
        </w:rPr>
        <w:t>.</w:t>
      </w:r>
      <w:r>
        <w:rPr>
          <w:rFonts w:ascii="Verdana" w:cs="Arial" w:hAnsi="Verdana"/>
          <w:color w:val="000000"/>
        </w:rPr>
        <w:t xml:space="preserve"> </w:t>
      </w:r>
    </w:p>
    <w:p>
      <w:pPr>
        <w:pStyle w:val="style0"/>
        <w:tabs>
          <w:tab w:val="left" w:leader="none" w:pos="4187"/>
        </w:tabs>
        <w:spacing w:before="240"/>
        <w:jc w:val="both"/>
        <w:rPr>
          <w:rFonts w:ascii="Verdana" w:cs="Arial" w:hAnsi="Verdana"/>
          <w:color w:val="000000"/>
        </w:rPr>
      </w:pPr>
      <w:r>
        <w:rPr>
          <w:rFonts w:ascii="Verdana" w:cs="Arial" w:hAnsi="Verdana"/>
          <w:color w:val="000000"/>
        </w:rPr>
        <w:t xml:space="preserve">Sur le plan de la coopération, </w:t>
      </w:r>
      <w:r>
        <w:rPr>
          <w:rFonts w:ascii="Verdana" w:cs="Arial" w:hAnsi="Verdana"/>
          <w:color w:val="000000"/>
        </w:rPr>
        <w:t xml:space="preserve">le CHRM a intégré les conventions déjà existantes entre </w:t>
      </w:r>
      <w:r>
        <w:rPr>
          <w:rFonts w:ascii="Verdana" w:cs="Arial" w:hAnsi="Verdana"/>
          <w:color w:val="000000"/>
        </w:rPr>
        <w:t xml:space="preserve">l’hôpital régional de Maroua </w:t>
      </w:r>
      <w:r>
        <w:rPr>
          <w:rFonts w:ascii="Verdana" w:cs="Arial" w:hAnsi="Verdana"/>
          <w:color w:val="000000"/>
        </w:rPr>
        <w:t>et certains hôpitaux f</w:t>
      </w:r>
      <w:r>
        <w:rPr>
          <w:rFonts w:ascii="Verdana" w:cs="Arial" w:hAnsi="Verdana"/>
          <w:color w:val="000000"/>
        </w:rPr>
        <w:t>r</w:t>
      </w:r>
      <w:r>
        <w:rPr>
          <w:rFonts w:ascii="Verdana" w:cs="Arial" w:hAnsi="Verdana"/>
          <w:color w:val="000000"/>
        </w:rPr>
        <w:t>an</w:t>
      </w:r>
      <w:r>
        <w:rPr>
          <w:rFonts w:ascii="Verdana" w:cs="Arial" w:hAnsi="Verdana"/>
          <w:color w:val="000000"/>
        </w:rPr>
        <w:t>ç</w:t>
      </w:r>
      <w:r>
        <w:rPr>
          <w:rFonts w:ascii="Verdana" w:cs="Arial" w:hAnsi="Verdana"/>
          <w:color w:val="000000"/>
        </w:rPr>
        <w:t>ais à l’instar du Groupe Hospitalier Nord Essonne et du Centre Hospitalier régional et Universitaire de Nancy</w:t>
      </w:r>
      <w:r>
        <w:rPr>
          <w:rFonts w:ascii="Verdana" w:cs="Arial" w:hAnsi="Verdana"/>
          <w:color w:val="000000"/>
        </w:rPr>
        <w:t xml:space="preserve">. </w:t>
      </w:r>
    </w:p>
    <w:p>
      <w:pPr>
        <w:pStyle w:val="style0"/>
        <w:tabs>
          <w:tab w:val="left" w:leader="none" w:pos="4187"/>
        </w:tabs>
        <w:spacing w:before="240"/>
        <w:jc w:val="both"/>
        <w:rPr>
          <w:rFonts w:ascii="Verdana" w:cs="Arial" w:hAnsi="Verdana"/>
          <w:color w:val="000000"/>
        </w:rPr>
      </w:pPr>
      <w:r>
        <w:rPr>
          <w:rFonts w:ascii="Verdana" w:cs="Arial" w:hAnsi="Verdana"/>
          <w:color w:val="000000"/>
        </w:rPr>
        <w:t>En 202</w:t>
      </w:r>
      <w:r>
        <w:rPr>
          <w:rFonts w:ascii="Verdana" w:cs="Arial" w:hAnsi="Verdana"/>
          <w:color w:val="000000"/>
        </w:rPr>
        <w:t>6</w:t>
      </w:r>
      <w:r>
        <w:rPr>
          <w:rFonts w:ascii="Verdana" w:cs="Arial" w:hAnsi="Verdana"/>
          <w:color w:val="000000"/>
        </w:rPr>
        <w:t>, nous souhaitons :</w:t>
      </w:r>
    </w:p>
    <w:p>
      <w:pPr>
        <w:pStyle w:val="style179"/>
        <w:numPr>
          <w:ilvl w:val="0"/>
          <w:numId w:val="7"/>
        </w:numPr>
        <w:spacing w:before="240" w:after="0" w:lineRule="auto" w:line="240"/>
        <w:rPr>
          <w:rFonts w:ascii="Verdana" w:cs="Arial" w:hAnsi="Verdana"/>
        </w:rPr>
      </w:pPr>
      <w:r>
        <w:rPr>
          <w:rFonts w:ascii="Verdana" w:cs="Arial" w:hAnsi="Verdana"/>
        </w:rPr>
        <w:t>Finaliser avant la fin du 1</w:t>
      </w:r>
      <w:r>
        <w:rPr>
          <w:rFonts w:ascii="Verdana" w:cs="Arial" w:hAnsi="Verdana"/>
          <w:vertAlign w:val="superscript"/>
        </w:rPr>
        <w:t>er</w:t>
      </w:r>
      <w:r>
        <w:rPr>
          <w:rFonts w:ascii="Verdana" w:cs="Arial" w:hAnsi="Verdana"/>
        </w:rPr>
        <w:t xml:space="preserve"> trimestre 2025, l’élaboration du tout 1er projet d’établissement du CHRM.</w:t>
      </w:r>
    </w:p>
    <w:p>
      <w:pPr>
        <w:pStyle w:val="style179"/>
        <w:numPr>
          <w:ilvl w:val="0"/>
          <w:numId w:val="7"/>
        </w:numPr>
        <w:spacing w:before="240"/>
        <w:rPr>
          <w:rFonts w:ascii="Verdana" w:cs="Arial" w:hAnsi="Verdana"/>
        </w:rPr>
      </w:pPr>
      <w:r>
        <w:rPr>
          <w:rFonts w:ascii="Verdana" w:cs="Arial" w:hAnsi="Verdana"/>
        </w:rPr>
        <w:t>Obtenir dans les plus brefs délais, notre certificat ISO 9001</w:t>
      </w:r>
      <w:r>
        <w:rPr>
          <w:rFonts w:ascii="Verdana" w:cs="Arial" w:hAnsi="Verdana"/>
        </w:rPr>
        <w:t> :2015</w:t>
      </w:r>
      <w:r>
        <w:rPr>
          <w:rFonts w:ascii="Verdana" w:cs="Arial" w:hAnsi="Verdana"/>
        </w:rPr>
        <w:t xml:space="preserve">, </w:t>
      </w:r>
      <w:r>
        <w:rPr>
          <w:rFonts w:ascii="Verdana" w:cs="Arial" w:hAnsi="Verdana"/>
        </w:rPr>
        <w:t>reconnaissant ainsi tous les efforts déployés dans la mise en œuvre de notre Système de Management de la Qualité.</w:t>
      </w:r>
    </w:p>
    <w:p>
      <w:pPr>
        <w:pStyle w:val="style179"/>
        <w:numPr>
          <w:ilvl w:val="0"/>
          <w:numId w:val="7"/>
        </w:numPr>
        <w:spacing w:before="240"/>
        <w:rPr>
          <w:rFonts w:ascii="Verdana" w:cs="Arial" w:hAnsi="Verdana"/>
        </w:rPr>
      </w:pPr>
      <w:r>
        <w:rPr>
          <w:rFonts w:ascii="Verdana" w:cs="Arial" w:hAnsi="Verdana"/>
        </w:rPr>
        <w:t xml:space="preserve">Poursuivre </w:t>
      </w:r>
      <w:r>
        <w:rPr>
          <w:rFonts w:ascii="Verdana" w:cs="Arial" w:hAnsi="Verdana"/>
        </w:rPr>
        <w:t xml:space="preserve">le projet de digitalisation de l’hôpital et renforcer le système d’informations </w:t>
      </w:r>
      <w:r>
        <w:rPr>
          <w:rFonts w:ascii="Verdana" w:cs="Arial" w:hAnsi="Verdana"/>
        </w:rPr>
        <w:t>sanitaires ;</w:t>
      </w:r>
    </w:p>
    <w:p>
      <w:pPr>
        <w:pStyle w:val="style179"/>
        <w:numPr>
          <w:ilvl w:val="0"/>
          <w:numId w:val="7"/>
        </w:numPr>
        <w:spacing w:before="240"/>
        <w:rPr>
          <w:rFonts w:ascii="Verdana" w:cs="Arial" w:hAnsi="Verdana"/>
        </w:rPr>
      </w:pPr>
      <w:r>
        <w:rPr>
          <w:rFonts w:ascii="Verdana" w:cs="Arial" w:hAnsi="Verdana"/>
        </w:rPr>
        <w:t xml:space="preserve">Améliorer ou tout au moins, maintenir le niveau atteint dans le cadre </w:t>
      </w:r>
      <w:r>
        <w:rPr>
          <w:rFonts w:ascii="Verdana" w:cs="Arial" w:hAnsi="Verdana"/>
        </w:rPr>
        <w:t>de l’hygiène</w:t>
      </w:r>
      <w:r>
        <w:rPr>
          <w:rFonts w:ascii="Verdana" w:cs="Arial" w:hAnsi="Verdana"/>
        </w:rPr>
        <w:t xml:space="preserve"> hospitalière </w:t>
      </w:r>
      <w:r>
        <w:rPr>
          <w:rFonts w:ascii="Verdana" w:cs="Arial" w:hAnsi="Verdana"/>
        </w:rPr>
        <w:t xml:space="preserve">en général et de la PCI en </w:t>
      </w:r>
      <w:r>
        <w:rPr>
          <w:rFonts w:ascii="Verdana" w:cs="Arial" w:hAnsi="Verdana"/>
        </w:rPr>
        <w:t>particulier</w:t>
      </w:r>
      <w:r>
        <w:rPr>
          <w:rFonts w:ascii="Verdana" w:cs="Arial" w:hAnsi="Verdana"/>
        </w:rPr>
        <w:t xml:space="preserve"> ;</w:t>
      </w:r>
    </w:p>
    <w:p>
      <w:pPr>
        <w:pStyle w:val="style179"/>
        <w:numPr>
          <w:ilvl w:val="0"/>
          <w:numId w:val="7"/>
        </w:numPr>
        <w:spacing w:before="240"/>
        <w:rPr>
          <w:rFonts w:ascii="Verdana" w:cs="Arial" w:hAnsi="Verdana"/>
        </w:rPr>
      </w:pPr>
      <w:r>
        <w:rPr>
          <w:rFonts w:ascii="Verdana" w:cs="Arial" w:hAnsi="Verdana"/>
        </w:rPr>
        <w:t>Assurer la formation continue</w:t>
      </w:r>
      <w:r>
        <w:rPr>
          <w:rFonts w:ascii="Verdana" w:cs="Arial" w:hAnsi="Verdana"/>
        </w:rPr>
        <w:t xml:space="preserve"> du personnel</w:t>
      </w:r>
      <w:r>
        <w:rPr>
          <w:rFonts w:ascii="Verdana" w:cs="Arial" w:hAnsi="Verdana"/>
        </w:rPr>
        <w:t xml:space="preserve"> ;</w:t>
      </w:r>
    </w:p>
    <w:p>
      <w:pPr>
        <w:pStyle w:val="style179"/>
        <w:numPr>
          <w:ilvl w:val="0"/>
          <w:numId w:val="7"/>
        </w:numPr>
        <w:spacing w:before="240"/>
        <w:rPr>
          <w:rFonts w:ascii="Verdana" w:cs="Arial" w:hAnsi="Verdana"/>
        </w:rPr>
      </w:pPr>
      <w:r>
        <w:rPr>
          <w:rFonts w:ascii="Verdana" w:cs="Arial" w:hAnsi="Verdana"/>
        </w:rPr>
        <w:t xml:space="preserve">Renforcer la coopération </w:t>
      </w:r>
      <w:r>
        <w:rPr>
          <w:rFonts w:ascii="Verdana" w:cs="Arial" w:hAnsi="Verdana"/>
        </w:rPr>
        <w:t>interhospitalière</w:t>
      </w:r>
      <w:r>
        <w:rPr>
          <w:rFonts w:ascii="Verdana" w:cs="Arial" w:hAnsi="Verdana"/>
        </w:rPr>
        <w:t> </w:t>
      </w:r>
      <w:r>
        <w:rPr>
          <w:rFonts w:ascii="Verdana" w:cs="Arial" w:hAnsi="Verdana"/>
        </w:rPr>
        <w:t xml:space="preserve">tant national </w:t>
      </w:r>
      <w:r>
        <w:rPr>
          <w:rFonts w:ascii="Verdana" w:cs="Arial" w:hAnsi="Verdana"/>
        </w:rPr>
        <w:t>qu’international ;</w:t>
      </w:r>
    </w:p>
    <w:p>
      <w:pPr>
        <w:pStyle w:val="style179"/>
        <w:numPr>
          <w:ilvl w:val="0"/>
          <w:numId w:val="7"/>
        </w:numPr>
        <w:spacing w:before="240"/>
        <w:rPr>
          <w:rFonts w:ascii="Verdana" w:cs="Arial" w:hAnsi="Verdana"/>
        </w:rPr>
      </w:pPr>
      <w:r>
        <w:rPr>
          <w:rFonts w:ascii="Verdana" w:cs="Arial" w:hAnsi="Verdana"/>
        </w:rPr>
        <w:t>Mettre un accent particulier sur la maintenance des équipements.</w:t>
      </w:r>
    </w:p>
    <w:p>
      <w:pPr>
        <w:pStyle w:val="style179"/>
        <w:numPr>
          <w:ilvl w:val="0"/>
          <w:numId w:val="7"/>
        </w:numPr>
        <w:spacing w:before="240"/>
        <w:rPr>
          <w:rFonts w:ascii="Verdana" w:cs="Arial" w:hAnsi="Verdana"/>
        </w:rPr>
      </w:pPr>
      <w:r>
        <w:rPr>
          <w:rFonts w:ascii="Verdana" w:cs="Arial" w:hAnsi="Verdana"/>
        </w:rPr>
        <w:t>Mettre en service le site internet de l’hôpital.</w:t>
      </w:r>
    </w:p>
    <w:p>
      <w:pPr>
        <w:pStyle w:val="style179"/>
        <w:numPr>
          <w:ilvl w:val="0"/>
          <w:numId w:val="7"/>
        </w:numPr>
        <w:spacing w:before="240"/>
        <w:rPr>
          <w:rFonts w:ascii="Verdana" w:cs="Arial" w:hAnsi="Verdana"/>
        </w:rPr>
      </w:pPr>
      <w:r>
        <w:rPr>
          <w:rFonts w:ascii="Verdana" w:cs="Arial" w:hAnsi="Verdana"/>
        </w:rPr>
        <w:t>Mettre en place les pôles d’excellences identifiés.</w:t>
      </w:r>
    </w:p>
    <w:p>
      <w:pPr>
        <w:pStyle w:val="style0"/>
        <w:tabs>
          <w:tab w:val="left" w:leader="none" w:pos="142"/>
          <w:tab w:val="left" w:leader="none" w:pos="284"/>
        </w:tabs>
        <w:spacing w:before="240"/>
        <w:jc w:val="both"/>
        <w:contextualSpacing/>
        <w:rPr>
          <w:rFonts w:ascii="Verdana" w:cs="Arial" w:hAnsi="Verdana"/>
        </w:rPr>
      </w:pPr>
      <w:r>
        <w:rPr>
          <w:rFonts w:ascii="Verdana" w:cs="Arial" w:hAnsi="Verdana"/>
        </w:rPr>
        <w:t>Nous voudron</w:t>
      </w:r>
      <w:r>
        <w:rPr>
          <w:rFonts w:ascii="Verdana" w:cs="Arial" w:hAnsi="Verdana"/>
        </w:rPr>
        <w:t xml:space="preserve">s profiter de cette opportunité pour saluer </w:t>
      </w:r>
      <w:r>
        <w:rPr>
          <w:rFonts w:ascii="Verdana" w:cs="Arial" w:hAnsi="Verdana"/>
        </w:rPr>
        <w:t xml:space="preserve">l’encadrement et l’accompagnement multiforme du Ministre de la Santé Publique, le Dr </w:t>
      </w:r>
      <w:r>
        <w:rPr>
          <w:rFonts w:ascii="Verdana" w:cs="Arial" w:hAnsi="Verdana"/>
          <w:b/>
        </w:rPr>
        <w:t>Manaouda Malachie</w:t>
      </w:r>
      <w:r>
        <w:rPr>
          <w:rFonts w:ascii="Verdana" w:cs="Arial" w:hAnsi="Verdana"/>
        </w:rPr>
        <w:t>.</w:t>
      </w:r>
      <w:r>
        <w:rPr>
          <w:rFonts w:ascii="Verdana" w:cs="Arial" w:hAnsi="Verdana"/>
        </w:rPr>
        <w:t xml:space="preserve"> </w:t>
      </w:r>
      <w:r>
        <w:rPr>
          <w:rFonts w:ascii="Verdana" w:cs="Arial" w:hAnsi="Verdana"/>
        </w:rPr>
        <w:t>Nous</w:t>
      </w:r>
      <w:r>
        <w:rPr>
          <w:rFonts w:ascii="Verdana" w:cs="Arial" w:hAnsi="Verdana"/>
        </w:rPr>
        <w:t xml:space="preserve"> </w:t>
      </w:r>
      <w:r>
        <w:rPr>
          <w:rFonts w:ascii="Verdana" w:cs="Arial" w:hAnsi="Verdana"/>
        </w:rPr>
        <w:t>félicitons</w:t>
      </w:r>
      <w:r>
        <w:rPr>
          <w:rFonts w:ascii="Verdana" w:cs="Arial" w:hAnsi="Verdana"/>
        </w:rPr>
        <w:t xml:space="preserve"> et </w:t>
      </w:r>
      <w:r>
        <w:rPr>
          <w:rFonts w:ascii="Verdana" w:cs="Arial" w:hAnsi="Verdana"/>
        </w:rPr>
        <w:t>en</w:t>
      </w:r>
      <w:r>
        <w:rPr>
          <w:rFonts w:ascii="Verdana" w:cs="Arial" w:hAnsi="Verdana"/>
        </w:rPr>
        <w:t>courage</w:t>
      </w:r>
      <w:r>
        <w:rPr>
          <w:rFonts w:ascii="Verdana" w:cs="Arial" w:hAnsi="Verdana"/>
        </w:rPr>
        <w:t>ons</w:t>
      </w:r>
      <w:r>
        <w:rPr>
          <w:rFonts w:ascii="Verdana" w:cs="Arial" w:hAnsi="Verdana"/>
        </w:rPr>
        <w:t xml:space="preserve"> </w:t>
      </w:r>
      <w:r>
        <w:rPr>
          <w:rFonts w:ascii="Verdana" w:cs="Arial" w:hAnsi="Verdana"/>
        </w:rPr>
        <w:t xml:space="preserve">l’ensemble du personnel </w:t>
      </w:r>
      <w:r>
        <w:rPr>
          <w:rFonts w:ascii="Verdana" w:cs="Arial" w:hAnsi="Verdana"/>
        </w:rPr>
        <w:t xml:space="preserve">pour son engagement et l’esprit d’équipe dont il a fait </w:t>
      </w:r>
      <w:r>
        <w:rPr>
          <w:rFonts w:ascii="Verdana" w:cs="Arial" w:hAnsi="Verdana"/>
        </w:rPr>
        <w:t>preuve au quotidien pour assurer à tous les patients un accès aux soins</w:t>
      </w:r>
      <w:r>
        <w:rPr>
          <w:rFonts w:ascii="Verdana" w:cs="Arial" w:hAnsi="Verdana"/>
        </w:rPr>
        <w:t xml:space="preserve"> sécurisés et de </w:t>
      </w:r>
      <w:r>
        <w:rPr>
          <w:rFonts w:ascii="Verdana" w:cs="Arial" w:hAnsi="Verdana"/>
        </w:rPr>
        <w:t>qualité</w:t>
      </w:r>
      <w:r>
        <w:rPr>
          <w:rFonts w:ascii="Verdana" w:cs="Arial" w:hAnsi="Verdana"/>
        </w:rPr>
        <w:t>.</w:t>
      </w:r>
      <w:r>
        <w:rPr>
          <w:rFonts w:ascii="Verdana" w:cs="Arial" w:hAnsi="Verdana"/>
        </w:rPr>
        <w:t xml:space="preserve"> </w:t>
      </w:r>
    </w:p>
    <w:p>
      <w:pPr>
        <w:pStyle w:val="style0"/>
        <w:tabs>
          <w:tab w:val="left" w:leader="none" w:pos="1001"/>
        </w:tabs>
        <w:spacing w:before="240"/>
        <w:jc w:val="both"/>
        <w:rPr>
          <w:rFonts w:ascii="Verdana" w:cs="Arial" w:hAnsi="Verdana"/>
        </w:rPr>
      </w:pPr>
    </w:p>
    <w:p>
      <w:pPr>
        <w:pStyle w:val="style0"/>
        <w:tabs>
          <w:tab w:val="left" w:leader="none" w:pos="1001"/>
        </w:tabs>
        <w:spacing w:before="240"/>
        <w:jc w:val="both"/>
        <w:rPr>
          <w:rFonts w:ascii="Verdana" w:cs="Arial" w:hAnsi="Verdana"/>
          <w:highlight w:val="yellow"/>
        </w:rPr>
      </w:pPr>
    </w:p>
    <w:p>
      <w:pPr>
        <w:pStyle w:val="style0"/>
        <w:tabs>
          <w:tab w:val="left" w:leader="none" w:pos="1001"/>
        </w:tabs>
        <w:spacing w:before="240"/>
        <w:jc w:val="both"/>
        <w:rPr>
          <w:rFonts w:ascii="Verdana" w:cs="Arial" w:hAnsi="Verdana"/>
          <w:highlight w:val="yellow"/>
        </w:rPr>
      </w:pPr>
    </w:p>
    <w:p>
      <w:pPr>
        <w:pStyle w:val="style0"/>
        <w:tabs>
          <w:tab w:val="left" w:leader="none" w:pos="1001"/>
        </w:tabs>
        <w:spacing w:before="240"/>
        <w:jc w:val="both"/>
        <w:rPr>
          <w:rFonts w:ascii="Verdana" w:cs="Arial" w:hAnsi="Verdana"/>
          <w:highlight w:val="yellow"/>
        </w:rPr>
      </w:pPr>
    </w:p>
    <w:p>
      <w:pPr>
        <w:pStyle w:val="style0"/>
        <w:tabs>
          <w:tab w:val="left" w:leader="none" w:pos="1001"/>
        </w:tabs>
        <w:spacing w:before="240"/>
        <w:jc w:val="both"/>
        <w:rPr>
          <w:rFonts w:ascii="Verdana" w:cs="Arial" w:hAnsi="Verdana"/>
          <w:highlight w:val="yellow"/>
        </w:rPr>
      </w:pPr>
    </w:p>
    <w:p>
      <w:pPr>
        <w:pStyle w:val="style0"/>
        <w:tabs>
          <w:tab w:val="left" w:leader="none" w:pos="1001"/>
        </w:tabs>
        <w:spacing w:before="240"/>
        <w:jc w:val="both"/>
        <w:rPr>
          <w:rFonts w:ascii="Verdana" w:cs="Arial" w:hAnsi="Verdana"/>
          <w:highlight w:val="yellow"/>
        </w:rPr>
      </w:pPr>
    </w:p>
    <w:p>
      <w:pPr>
        <w:pStyle w:val="style0"/>
        <w:tabs>
          <w:tab w:val="left" w:leader="none" w:pos="1001"/>
        </w:tabs>
        <w:spacing w:before="240"/>
        <w:jc w:val="both"/>
        <w:rPr>
          <w:rFonts w:ascii="Verdana" w:cs="Arial" w:hAnsi="Verdana"/>
          <w:highlight w:val="yellow"/>
        </w:rPr>
      </w:pPr>
    </w:p>
    <w:p>
      <w:pPr>
        <w:pStyle w:val="style0"/>
        <w:tabs>
          <w:tab w:val="left" w:leader="none" w:pos="1001"/>
        </w:tabs>
        <w:spacing w:before="240"/>
        <w:jc w:val="both"/>
        <w:rPr>
          <w:rFonts w:ascii="Verdana" w:cs="Arial" w:hAnsi="Verdana"/>
          <w:highlight w:val="yellow"/>
        </w:rPr>
      </w:pPr>
    </w:p>
    <w:p>
      <w:pPr>
        <w:pStyle w:val="style0"/>
        <w:tabs>
          <w:tab w:val="left" w:leader="none" w:pos="1001"/>
        </w:tabs>
        <w:spacing w:before="240"/>
        <w:jc w:val="both"/>
        <w:rPr>
          <w:rFonts w:ascii="Verdana" w:cs="Arial" w:hAnsi="Verdana"/>
          <w:highlight w:val="yellow"/>
        </w:rPr>
      </w:pPr>
    </w:p>
    <w:p>
      <w:pPr>
        <w:pStyle w:val="style0"/>
        <w:tabs>
          <w:tab w:val="left" w:leader="none" w:pos="1001"/>
        </w:tabs>
        <w:spacing w:before="240"/>
        <w:jc w:val="both"/>
        <w:rPr>
          <w:rFonts w:ascii="Verdana" w:cs="Arial" w:hAnsi="Verdana"/>
          <w:highlight w:val="yellow"/>
        </w:rPr>
      </w:pPr>
    </w:p>
    <w:p>
      <w:pPr>
        <w:pStyle w:val="style0"/>
        <w:tabs>
          <w:tab w:val="left" w:leader="none" w:pos="1001"/>
        </w:tabs>
        <w:spacing w:before="240"/>
        <w:jc w:val="both"/>
        <w:rPr>
          <w:rFonts w:ascii="Verdana" w:cs="Arial" w:hAnsi="Verdana"/>
          <w:highlight w:val="yellow"/>
        </w:rPr>
      </w:pPr>
    </w:p>
    <w:bookmarkStart w:id="8" w:name="_Toc225355675"/>
    <w:p>
      <w:pPr>
        <w:pStyle w:val="style1"/>
        <w:jc w:val="center"/>
        <w:rPr/>
      </w:pPr>
      <w:r>
        <w:t>PRESENTATION GENERALE DE L’ETABLISSEMENT</w:t>
      </w:r>
      <w:bookmarkEnd w:id="8"/>
    </w:p>
    <w:p>
      <w:pPr>
        <w:pStyle w:val="style0"/>
        <w:tabs>
          <w:tab w:val="left" w:leader="none" w:pos="5942"/>
        </w:tabs>
        <w:jc w:val="both"/>
        <w:rPr>
          <w:rFonts w:ascii="Verdana" w:cs="Arial" w:hAnsi="Verdana"/>
          <w:highlight w:val="yellow"/>
        </w:rPr>
      </w:pPr>
    </w:p>
    <w:p>
      <w:pPr>
        <w:pStyle w:val="style0"/>
        <w:tabs>
          <w:tab w:val="left" w:leader="none" w:pos="5942"/>
        </w:tabs>
        <w:jc w:val="both"/>
        <w:rPr>
          <w:rFonts w:ascii="Verdana" w:cs="Arial" w:hAnsi="Verdana"/>
          <w:highlight w:val="yellow"/>
        </w:rPr>
      </w:pPr>
    </w:p>
    <w:p>
      <w:pPr>
        <w:pStyle w:val="style0"/>
        <w:tabs>
          <w:tab w:val="left" w:leader="none" w:pos="5942"/>
        </w:tabs>
        <w:jc w:val="both"/>
        <w:rPr>
          <w:rFonts w:ascii="Verdana" w:cs="Arial" w:hAnsi="Verdana"/>
          <w:highlight w:val="yellow"/>
        </w:rPr>
      </w:pPr>
    </w:p>
    <w:p>
      <w:pPr>
        <w:pStyle w:val="style0"/>
        <w:tabs>
          <w:tab w:val="left" w:leader="none" w:pos="5942"/>
        </w:tabs>
        <w:jc w:val="both"/>
        <w:rPr>
          <w:rFonts w:ascii="Verdana" w:cs="Arial" w:hAnsi="Verdana"/>
          <w:highlight w:val="yellow"/>
        </w:rPr>
      </w:pPr>
    </w:p>
    <w:p>
      <w:pPr>
        <w:pStyle w:val="style0"/>
        <w:tabs>
          <w:tab w:val="left" w:leader="none" w:pos="5942"/>
        </w:tabs>
        <w:jc w:val="both"/>
        <w:rPr>
          <w:rFonts w:ascii="Verdana" w:cs="Arial" w:hAnsi="Verdana"/>
          <w:highlight w:val="yellow"/>
        </w:rPr>
      </w:pPr>
    </w:p>
    <w:p>
      <w:pPr>
        <w:pStyle w:val="style0"/>
        <w:tabs>
          <w:tab w:val="left" w:leader="none" w:pos="5942"/>
        </w:tabs>
        <w:jc w:val="both"/>
        <w:rPr>
          <w:rFonts w:ascii="Verdana" w:cs="Arial" w:hAnsi="Verdana"/>
          <w:highlight w:val="yellow"/>
        </w:rPr>
      </w:pPr>
    </w:p>
    <w:p>
      <w:pPr>
        <w:pStyle w:val="style0"/>
        <w:tabs>
          <w:tab w:val="left" w:leader="none" w:pos="5942"/>
        </w:tabs>
        <w:jc w:val="both"/>
        <w:rPr>
          <w:rFonts w:ascii="Verdana" w:cs="Arial" w:hAnsi="Verdana"/>
          <w:highlight w:val="yellow"/>
        </w:rPr>
      </w:pPr>
    </w:p>
    <w:p>
      <w:pPr>
        <w:pStyle w:val="style0"/>
        <w:tabs>
          <w:tab w:val="left" w:leader="none" w:pos="5942"/>
        </w:tabs>
        <w:jc w:val="both"/>
        <w:rPr>
          <w:rFonts w:ascii="Verdana" w:cs="Arial" w:hAnsi="Verdana"/>
          <w:highlight w:val="yellow"/>
        </w:rPr>
      </w:pPr>
    </w:p>
    <w:p>
      <w:pPr>
        <w:pStyle w:val="style0"/>
        <w:tabs>
          <w:tab w:val="left" w:leader="none" w:pos="5942"/>
        </w:tabs>
        <w:jc w:val="both"/>
        <w:rPr>
          <w:rFonts w:ascii="Verdana" w:cs="Arial" w:hAnsi="Verdana"/>
          <w:highlight w:val="yellow"/>
        </w:rPr>
      </w:pPr>
    </w:p>
    <w:p>
      <w:pPr>
        <w:pStyle w:val="style0"/>
        <w:tabs>
          <w:tab w:val="left" w:leader="none" w:pos="5942"/>
        </w:tabs>
        <w:jc w:val="both"/>
        <w:rPr>
          <w:rFonts w:ascii="Verdana" w:cs="Arial" w:hAnsi="Verdana"/>
          <w:highlight w:val="yellow"/>
        </w:rPr>
      </w:pPr>
    </w:p>
    <w:p>
      <w:pPr>
        <w:pStyle w:val="style0"/>
        <w:tabs>
          <w:tab w:val="left" w:leader="none" w:pos="5942"/>
        </w:tabs>
        <w:jc w:val="both"/>
        <w:rPr>
          <w:rFonts w:ascii="Verdana" w:cs="Arial" w:hAnsi="Verdana"/>
          <w:highlight w:val="yellow"/>
        </w:rPr>
      </w:pPr>
    </w:p>
    <w:p>
      <w:pPr>
        <w:pStyle w:val="style0"/>
        <w:tabs>
          <w:tab w:val="left" w:leader="none" w:pos="5942"/>
        </w:tabs>
        <w:jc w:val="both"/>
        <w:rPr>
          <w:rFonts w:ascii="Verdana" w:cs="Arial" w:hAnsi="Verdana"/>
          <w:highlight w:val="yellow"/>
        </w:rPr>
      </w:pPr>
    </w:p>
    <w:p>
      <w:pPr>
        <w:pStyle w:val="style0"/>
        <w:tabs>
          <w:tab w:val="left" w:leader="none" w:pos="5942"/>
        </w:tabs>
        <w:jc w:val="both"/>
        <w:rPr>
          <w:rFonts w:ascii="Verdana" w:cs="Arial" w:hAnsi="Verdana"/>
          <w:highlight w:val="yellow"/>
        </w:rPr>
      </w:pPr>
    </w:p>
    <w:p>
      <w:pPr>
        <w:pStyle w:val="style0"/>
        <w:tabs>
          <w:tab w:val="left" w:leader="none" w:pos="5942"/>
        </w:tabs>
        <w:jc w:val="both"/>
        <w:rPr>
          <w:rFonts w:ascii="Verdana" w:cs="Arial" w:hAnsi="Verdana"/>
          <w:highlight w:val="yellow"/>
        </w:rPr>
      </w:pPr>
    </w:p>
    <w:p>
      <w:pPr>
        <w:pStyle w:val="style0"/>
        <w:rPr>
          <w:rFonts w:ascii="Verdana" w:cs="Arial" w:hAnsi="Verdana"/>
          <w:highlight w:val="yellow"/>
        </w:rPr>
      </w:pPr>
    </w:p>
    <w:p>
      <w:pPr>
        <w:pStyle w:val="style0"/>
        <w:jc w:val="both"/>
        <w:rPr>
          <w:rFonts w:ascii="Verdana" w:cs="Arial" w:hAnsi="Verdana"/>
          <w:sz w:val="24"/>
          <w:szCs w:val="24"/>
          <w:highlight w:val="yellow"/>
        </w:rPr>
      </w:pPr>
      <w:r>
        <w:rPr>
          <w:rStyle w:val="style4145"/>
          <w:rFonts w:ascii="Verdana" w:hAnsi="Verdana"/>
          <w:sz w:val="24"/>
          <w:szCs w:val="24"/>
        </w:rPr>
        <w:t xml:space="preserve">La création du Centre Hospitalier Régional de Maroua s’inscrit dans le cadre du </w:t>
      </w:r>
      <w:r>
        <w:rPr>
          <w:rFonts w:ascii="Verdana" w:cs="Arial" w:hAnsi="Verdana"/>
          <w:sz w:val="24"/>
          <w:szCs w:val="24"/>
        </w:rPr>
        <w:t>Décret N° 2022/013 du 07 janvier 2022 du Président de la République, portant création, organisation et fonctionnement des Centres Hospitaliers Régionaux (CHR)</w:t>
      </w:r>
      <w:r>
        <w:rPr>
          <w:rStyle w:val="style4145"/>
          <w:rFonts w:ascii="Verdana" w:hAnsi="Verdana"/>
          <w:sz w:val="24"/>
          <w:szCs w:val="24"/>
        </w:rPr>
        <w:t>. Le CHR de Maroua a ouvert ses portes au public, le 1</w:t>
      </w:r>
      <w:r>
        <w:rPr>
          <w:rStyle w:val="style4145"/>
          <w:rFonts w:ascii="Verdana" w:hAnsi="Verdana"/>
          <w:sz w:val="24"/>
          <w:szCs w:val="24"/>
          <w:vertAlign w:val="superscript"/>
        </w:rPr>
        <w:t>er</w:t>
      </w:r>
      <w:r>
        <w:rPr>
          <w:rStyle w:val="style4145"/>
          <w:rFonts w:ascii="Verdana" w:hAnsi="Verdana"/>
          <w:sz w:val="24"/>
          <w:szCs w:val="24"/>
        </w:rPr>
        <w:t xml:space="preserve"> octobre </w:t>
      </w:r>
      <w:r>
        <w:rPr>
          <w:rStyle w:val="style4145"/>
          <w:rFonts w:ascii="Verdana" w:hAnsi="Verdana"/>
          <w:color w:val="auto"/>
          <w:sz w:val="24"/>
          <w:szCs w:val="24"/>
        </w:rPr>
        <w:t>202</w:t>
      </w:r>
      <w:r>
        <w:rPr>
          <w:rStyle w:val="style4145"/>
          <w:rFonts w:ascii="Verdana" w:hAnsi="Verdana"/>
          <w:color w:val="auto"/>
          <w:sz w:val="24"/>
          <w:szCs w:val="24"/>
        </w:rPr>
        <w:t>4</w:t>
      </w:r>
      <w:r>
        <w:rPr>
          <w:rStyle w:val="style4145"/>
          <w:rFonts w:ascii="Verdana" w:hAnsi="Verdana"/>
          <w:color w:val="auto"/>
          <w:sz w:val="24"/>
          <w:szCs w:val="24"/>
        </w:rPr>
        <w:t xml:space="preserve"> </w:t>
      </w:r>
      <w:r>
        <w:rPr>
          <w:rStyle w:val="style4145"/>
          <w:rFonts w:ascii="Verdana" w:hAnsi="Verdana"/>
          <w:sz w:val="24"/>
          <w:szCs w:val="24"/>
        </w:rPr>
        <w:t xml:space="preserve">et les différentes prestations ont été progressivement lancées au point où l’hôpital est aujourd’hui </w:t>
      </w:r>
      <w:r>
        <w:rPr>
          <w:rStyle w:val="style4145"/>
          <w:rFonts w:ascii="Verdana" w:hAnsi="Verdana"/>
          <w:sz w:val="24"/>
          <w:szCs w:val="24"/>
        </w:rPr>
        <w:t>presqu’</w:t>
      </w:r>
      <w:r>
        <w:rPr>
          <w:rStyle w:val="style4145"/>
          <w:rFonts w:ascii="Verdana" w:hAnsi="Verdana"/>
          <w:sz w:val="24"/>
          <w:szCs w:val="24"/>
        </w:rPr>
        <w:t>entièrement fonctionnel.</w:t>
      </w:r>
    </w:p>
    <w:bookmarkStart w:id="9" w:name="_Hlk224479804"/>
    <w:p>
      <w:pPr>
        <w:pStyle w:val="style2"/>
        <w:rPr>
          <w:color w:val="00b050"/>
        </w:rPr>
      </w:pPr>
      <w:r>
        <w:rPr>
          <w:color w:val="00b050"/>
        </w:rPr>
        <w:tab/>
      </w:r>
      <w:bookmarkStart w:id="10" w:name="_Toc225355676"/>
      <w:bookmarkEnd w:id="9"/>
      <w:r>
        <w:rPr>
          <w:color w:val="00b050"/>
        </w:rPr>
        <w:t>Organisation et fonctionnement</w:t>
      </w:r>
      <w:bookmarkEnd w:id="10"/>
    </w:p>
    <w:p>
      <w:pPr>
        <w:pStyle w:val="style0"/>
        <w:jc w:val="both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 xml:space="preserve">L’hôpital est organisé en départements, services et en unités. Chaque service est dirigé par un responsable chef de Service ou chef d’Unité, assisté </w:t>
      </w:r>
      <w:r>
        <w:rPr>
          <w:rFonts w:ascii="Verdana" w:cs="Arial" w:hAnsi="Verdana"/>
          <w:sz w:val="24"/>
          <w:szCs w:val="24"/>
        </w:rPr>
        <w:t>d’un major</w:t>
      </w:r>
      <w:r>
        <w:rPr>
          <w:rFonts w:ascii="Verdana" w:cs="Arial" w:hAnsi="Verdana"/>
          <w:sz w:val="24"/>
          <w:szCs w:val="24"/>
        </w:rPr>
        <w:t>.</w:t>
      </w:r>
    </w:p>
    <w:p>
      <w:pPr>
        <w:pStyle w:val="style0"/>
        <w:jc w:val="both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 xml:space="preserve">Pour assurer une bonne fonctionnalité du </w:t>
      </w:r>
      <w:r>
        <w:rPr>
          <w:rFonts w:ascii="Verdana" w:cs="Arial" w:hAnsi="Verdana"/>
          <w:sz w:val="24"/>
          <w:szCs w:val="24"/>
        </w:rPr>
        <w:t>Centre</w:t>
      </w:r>
      <w:r>
        <w:rPr>
          <w:rFonts w:ascii="Verdana" w:cs="Arial" w:hAnsi="Verdana"/>
          <w:sz w:val="24"/>
          <w:szCs w:val="24"/>
        </w:rPr>
        <w:t>, l’organisation ci-dess</w:t>
      </w:r>
      <w:r>
        <w:rPr>
          <w:rFonts w:ascii="Verdana" w:cs="Arial" w:hAnsi="Verdana"/>
          <w:sz w:val="24"/>
          <w:szCs w:val="24"/>
        </w:rPr>
        <w:t>ous</w:t>
      </w:r>
      <w:r>
        <w:rPr>
          <w:rFonts w:ascii="Verdana" w:cs="Arial" w:hAnsi="Verdana"/>
          <w:sz w:val="24"/>
          <w:szCs w:val="24"/>
        </w:rPr>
        <w:t xml:space="preserve"> a été mise en place :</w:t>
      </w:r>
    </w:p>
    <w:bookmarkStart w:id="11" w:name="_Toc225355677"/>
    <w:p>
      <w:pPr>
        <w:pStyle w:val="style3"/>
        <w:rPr/>
      </w:pPr>
      <w:r>
        <w:t>Les services administratifs</w:t>
      </w:r>
      <w:bookmarkEnd w:id="11"/>
      <w:r>
        <w:t xml:space="preserve"> </w:t>
      </w:r>
    </w:p>
    <w:p>
      <w:pPr>
        <w:pStyle w:val="style0"/>
        <w:numPr>
          <w:ilvl w:val="0"/>
          <w:numId w:val="15"/>
        </w:numPr>
        <w:spacing w:after="0" w:lineRule="auto" w:line="240"/>
        <w:jc w:val="both"/>
        <w:contextualSpacing/>
        <w:rPr>
          <w:rFonts w:ascii="Verdana" w:cs="Arial" w:eastAsia="Calibri" w:hAnsi="Verdana"/>
          <w:sz w:val="24"/>
          <w:szCs w:val="24"/>
          <w:lang w:eastAsia="en-US"/>
        </w:rPr>
      </w:pPr>
      <w:r>
        <w:rPr>
          <w:rFonts w:ascii="Verdana" w:cs="Arial" w:eastAsia="Calibri" w:hAnsi="Verdana"/>
          <w:sz w:val="24"/>
          <w:szCs w:val="24"/>
          <w:lang w:eastAsia="en-US"/>
        </w:rPr>
        <w:t>La Direction ;</w:t>
      </w:r>
    </w:p>
    <w:bookmarkStart w:id="12" w:name="_Hlk224477339"/>
    <w:p>
      <w:pPr>
        <w:pStyle w:val="style0"/>
        <w:numPr>
          <w:ilvl w:val="0"/>
          <w:numId w:val="15"/>
        </w:numPr>
        <w:spacing w:after="0" w:lineRule="auto" w:line="240"/>
        <w:jc w:val="both"/>
        <w:contextualSpacing/>
        <w:rPr>
          <w:rFonts w:ascii="Verdana" w:cs="Arial" w:eastAsia="Calibri" w:hAnsi="Verdana"/>
          <w:sz w:val="24"/>
          <w:szCs w:val="24"/>
          <w:lang w:eastAsia="en-US"/>
        </w:rPr>
      </w:pPr>
      <w:r>
        <w:rPr>
          <w:rFonts w:ascii="Verdana" w:cs="Arial" w:eastAsia="Calibri" w:hAnsi="Verdana"/>
          <w:sz w:val="24"/>
          <w:szCs w:val="24"/>
          <w:lang w:eastAsia="en-US"/>
        </w:rPr>
        <w:t>La Commission Médicale d'Établissement (CME) </w:t>
      </w:r>
      <w:bookmarkEnd w:id="12"/>
      <w:r>
        <w:rPr>
          <w:rFonts w:ascii="Verdana" w:cs="Arial" w:eastAsia="Calibri" w:hAnsi="Verdana"/>
          <w:sz w:val="24"/>
          <w:szCs w:val="24"/>
          <w:lang w:eastAsia="en-US"/>
        </w:rPr>
        <w:t>;</w:t>
      </w:r>
    </w:p>
    <w:p>
      <w:pPr>
        <w:pStyle w:val="style0"/>
        <w:numPr>
          <w:ilvl w:val="0"/>
          <w:numId w:val="15"/>
        </w:numPr>
        <w:spacing w:after="0" w:lineRule="auto" w:line="240"/>
        <w:jc w:val="both"/>
        <w:contextualSpacing/>
        <w:rPr>
          <w:rFonts w:ascii="Verdana" w:cs="Arial" w:eastAsia="Calibri" w:hAnsi="Verdana"/>
          <w:sz w:val="24"/>
          <w:szCs w:val="24"/>
          <w:lang w:eastAsia="en-US"/>
        </w:rPr>
      </w:pPr>
      <w:r>
        <w:rPr>
          <w:rFonts w:ascii="Verdana" w:cs="Arial" w:eastAsia="Calibri" w:hAnsi="Verdana"/>
          <w:sz w:val="24"/>
          <w:szCs w:val="24"/>
          <w:lang w:eastAsia="en-US"/>
        </w:rPr>
        <w:t>La Surveillance Générale ;</w:t>
      </w:r>
    </w:p>
    <w:p>
      <w:pPr>
        <w:pStyle w:val="style0"/>
        <w:numPr>
          <w:ilvl w:val="0"/>
          <w:numId w:val="15"/>
        </w:numPr>
        <w:spacing w:after="0" w:lineRule="auto" w:line="240"/>
        <w:jc w:val="both"/>
        <w:contextualSpacing/>
        <w:rPr>
          <w:rFonts w:ascii="Verdana" w:cs="Arial" w:eastAsia="Calibri" w:hAnsi="Verdana"/>
          <w:sz w:val="24"/>
          <w:szCs w:val="24"/>
          <w:lang w:eastAsia="en-US"/>
        </w:rPr>
      </w:pPr>
      <w:r>
        <w:rPr>
          <w:rFonts w:ascii="Verdana" w:cs="Arial" w:eastAsia="Calibri" w:hAnsi="Verdana"/>
          <w:sz w:val="24"/>
          <w:szCs w:val="24"/>
          <w:lang w:eastAsia="en-US"/>
        </w:rPr>
        <w:t>Le Bureau de l’Information Sanitaire et des Archives ;</w:t>
      </w:r>
    </w:p>
    <w:p>
      <w:pPr>
        <w:pStyle w:val="style0"/>
        <w:numPr>
          <w:ilvl w:val="0"/>
          <w:numId w:val="15"/>
        </w:numPr>
        <w:spacing w:after="0" w:lineRule="auto" w:line="240"/>
        <w:jc w:val="both"/>
        <w:contextualSpacing/>
        <w:rPr>
          <w:rFonts w:ascii="Verdana" w:cs="Arial" w:eastAsia="Calibri" w:hAnsi="Verdana"/>
          <w:sz w:val="24"/>
          <w:szCs w:val="24"/>
          <w:lang w:eastAsia="en-US"/>
        </w:rPr>
      </w:pPr>
      <w:r>
        <w:rPr>
          <w:rFonts w:ascii="Verdana" w:cs="Arial" w:eastAsia="Calibri" w:hAnsi="Verdana"/>
          <w:sz w:val="24"/>
          <w:szCs w:val="24"/>
          <w:lang w:eastAsia="en-US"/>
        </w:rPr>
        <w:t>Le service des ressources humaines et des relations avec les usagers ;</w:t>
      </w:r>
    </w:p>
    <w:p>
      <w:pPr>
        <w:pStyle w:val="style0"/>
        <w:numPr>
          <w:ilvl w:val="0"/>
          <w:numId w:val="15"/>
        </w:numPr>
        <w:spacing w:after="0" w:lineRule="auto" w:line="240"/>
        <w:jc w:val="both"/>
        <w:contextualSpacing/>
        <w:rPr>
          <w:rFonts w:ascii="Verdana" w:cs="Arial" w:eastAsia="Calibri" w:hAnsi="Verdana"/>
          <w:sz w:val="24"/>
          <w:szCs w:val="24"/>
          <w:lang w:eastAsia="en-US"/>
        </w:rPr>
      </w:pPr>
      <w:r>
        <w:rPr>
          <w:rFonts w:ascii="Verdana" w:cs="Arial" w:eastAsia="Calibri" w:hAnsi="Verdana"/>
          <w:sz w:val="24"/>
          <w:szCs w:val="24"/>
          <w:lang w:eastAsia="en-US"/>
        </w:rPr>
        <w:t xml:space="preserve">L’Économat ; </w:t>
      </w:r>
    </w:p>
    <w:p>
      <w:pPr>
        <w:pStyle w:val="style179"/>
        <w:numPr>
          <w:ilvl w:val="0"/>
          <w:numId w:val="15"/>
        </w:numPr>
        <w:spacing w:after="0" w:lineRule="auto" w:line="240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La Régie des recettes avec :</w:t>
      </w:r>
    </w:p>
    <w:p>
      <w:pPr>
        <w:pStyle w:val="style179"/>
        <w:numPr>
          <w:ilvl w:val="1"/>
          <w:numId w:val="15"/>
        </w:numPr>
        <w:spacing w:after="0" w:lineRule="auto" w:line="240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Facturation/Caisses,</w:t>
      </w:r>
    </w:p>
    <w:p>
      <w:pPr>
        <w:pStyle w:val="style179"/>
        <w:numPr>
          <w:ilvl w:val="1"/>
          <w:numId w:val="15"/>
        </w:numPr>
        <w:spacing w:after="0" w:lineRule="auto" w:line="240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Le Bureau des bons de prise en charge,</w:t>
      </w:r>
    </w:p>
    <w:p>
      <w:pPr>
        <w:pStyle w:val="style179"/>
        <w:numPr>
          <w:ilvl w:val="1"/>
          <w:numId w:val="15"/>
        </w:numPr>
        <w:spacing w:after="0" w:lineRule="auto" w:line="240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Le Bureau de recouvrement des coûts,</w:t>
      </w:r>
    </w:p>
    <w:p>
      <w:pPr>
        <w:pStyle w:val="style0"/>
        <w:numPr>
          <w:ilvl w:val="0"/>
          <w:numId w:val="15"/>
        </w:numPr>
        <w:spacing w:after="0" w:lineRule="auto" w:line="240"/>
        <w:jc w:val="both"/>
        <w:contextualSpacing/>
        <w:rPr>
          <w:rFonts w:ascii="Verdana" w:cs="Arial" w:eastAsia="Calibri" w:hAnsi="Verdana"/>
          <w:sz w:val="24"/>
          <w:szCs w:val="24"/>
          <w:lang w:eastAsia="en-US"/>
        </w:rPr>
      </w:pPr>
      <w:r>
        <w:rPr>
          <w:rFonts w:ascii="Verdana" w:cs="Arial" w:eastAsia="Calibri" w:hAnsi="Verdana"/>
          <w:sz w:val="24"/>
          <w:szCs w:val="24"/>
          <w:lang w:eastAsia="en-US"/>
        </w:rPr>
        <w:t>La Comptabilité matière ;</w:t>
      </w:r>
    </w:p>
    <w:p>
      <w:pPr>
        <w:pStyle w:val="style0"/>
        <w:numPr>
          <w:ilvl w:val="0"/>
          <w:numId w:val="15"/>
        </w:numPr>
        <w:spacing w:after="0" w:lineRule="auto" w:line="240"/>
        <w:jc w:val="both"/>
        <w:contextualSpacing/>
        <w:rPr>
          <w:rFonts w:ascii="Verdana" w:cs="Arial" w:eastAsia="Calibri" w:hAnsi="Verdana"/>
          <w:sz w:val="24"/>
          <w:szCs w:val="24"/>
          <w:lang w:eastAsia="en-US"/>
        </w:rPr>
      </w:pPr>
      <w:r>
        <w:rPr>
          <w:rFonts w:ascii="Verdana" w:cs="Arial" w:eastAsia="Calibri" w:hAnsi="Verdana"/>
          <w:sz w:val="24"/>
          <w:szCs w:val="24"/>
          <w:lang w:eastAsia="en-US"/>
        </w:rPr>
        <w:t>La Cellule Communication ;</w:t>
      </w:r>
    </w:p>
    <w:bookmarkStart w:id="13" w:name="_Toc225355678"/>
    <w:p>
      <w:pPr>
        <w:pStyle w:val="style3"/>
        <w:rPr/>
      </w:pPr>
      <w:r>
        <w:t>Le Département de chirurgie et Spécialités</w:t>
      </w:r>
      <w:bookmarkEnd w:id="13"/>
      <w:r>
        <w:t xml:space="preserve"> </w:t>
      </w:r>
    </w:p>
    <w:p>
      <w:pPr>
        <w:pStyle w:val="style179"/>
        <w:numPr>
          <w:ilvl w:val="0"/>
          <w:numId w:val="9"/>
        </w:numPr>
        <w:spacing w:after="0"/>
        <w:ind w:left="993" w:hanging="284"/>
        <w:rPr>
          <w:rFonts w:ascii="Verdana" w:cs="Arial" w:hAnsi="Verdana"/>
          <w:b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Service de Chirurgie hospitalisation polyvalente ;</w:t>
      </w:r>
    </w:p>
    <w:p>
      <w:pPr>
        <w:pStyle w:val="style179"/>
        <w:numPr>
          <w:ilvl w:val="0"/>
          <w:numId w:val="9"/>
        </w:numPr>
        <w:spacing w:after="0"/>
        <w:ind w:left="993" w:hanging="284"/>
        <w:rPr>
          <w:rFonts w:ascii="Verdana" w:cs="Arial" w:hAnsi="Verdana"/>
          <w:b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Bloc Opératoire ;</w:t>
      </w:r>
    </w:p>
    <w:p>
      <w:pPr>
        <w:pStyle w:val="style179"/>
        <w:numPr>
          <w:ilvl w:val="0"/>
          <w:numId w:val="9"/>
        </w:numPr>
        <w:spacing w:after="0"/>
        <w:ind w:left="993" w:hanging="284"/>
        <w:rPr>
          <w:rFonts w:ascii="Verdana" w:cs="Arial" w:hAnsi="Verdana"/>
          <w:b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Service d’Anesthésie et Réanimation polyvalente ;</w:t>
      </w:r>
    </w:p>
    <w:p>
      <w:pPr>
        <w:pStyle w:val="style179"/>
        <w:numPr>
          <w:ilvl w:val="1"/>
          <w:numId w:val="9"/>
        </w:numPr>
        <w:spacing w:after="0"/>
        <w:rPr>
          <w:rFonts w:ascii="Verdana" w:cs="Arial" w:hAnsi="Verdana"/>
          <w:b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Unité d’anesthésie,</w:t>
      </w:r>
    </w:p>
    <w:p>
      <w:pPr>
        <w:pStyle w:val="style179"/>
        <w:numPr>
          <w:ilvl w:val="1"/>
          <w:numId w:val="9"/>
        </w:numPr>
        <w:spacing w:after="0"/>
        <w:rPr>
          <w:rFonts w:ascii="Verdana" w:cs="Arial" w:hAnsi="Verdana"/>
          <w:b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Unité de réanimation polyvalente,</w:t>
      </w:r>
    </w:p>
    <w:p>
      <w:pPr>
        <w:pStyle w:val="style179"/>
        <w:numPr>
          <w:ilvl w:val="0"/>
          <w:numId w:val="9"/>
        </w:numPr>
        <w:spacing w:after="0" w:lineRule="auto" w:line="259"/>
        <w:ind w:left="993" w:hanging="284"/>
        <w:rPr>
          <w:rFonts w:ascii="Verdana" w:cs="Arial" w:hAnsi="Verdana"/>
          <w:b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Service d’Ophtalmologie ;</w:t>
      </w:r>
    </w:p>
    <w:p>
      <w:pPr>
        <w:pStyle w:val="style179"/>
        <w:numPr>
          <w:ilvl w:val="0"/>
          <w:numId w:val="9"/>
        </w:numPr>
        <w:spacing w:after="0" w:lineRule="auto" w:line="259"/>
        <w:ind w:left="993" w:hanging="284"/>
        <w:rPr>
          <w:rFonts w:ascii="Verdana" w:cs="Arial" w:hAnsi="Verdana"/>
          <w:b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Service d’Odontostomatologie ;</w:t>
      </w:r>
    </w:p>
    <w:p>
      <w:pPr>
        <w:pStyle w:val="style179"/>
        <w:numPr>
          <w:ilvl w:val="0"/>
          <w:numId w:val="9"/>
        </w:numPr>
        <w:spacing w:after="0" w:lineRule="auto" w:line="259"/>
        <w:ind w:left="993" w:hanging="284"/>
        <w:rPr>
          <w:rFonts w:ascii="Verdana" w:cs="Arial" w:hAnsi="Verdana"/>
          <w:b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Service d’ORL ;</w:t>
      </w:r>
    </w:p>
    <w:p>
      <w:pPr>
        <w:pStyle w:val="style179"/>
        <w:numPr>
          <w:ilvl w:val="0"/>
          <w:numId w:val="9"/>
        </w:numPr>
        <w:spacing w:after="0" w:lineRule="auto" w:line="259"/>
        <w:ind w:left="993" w:hanging="284"/>
        <w:rPr>
          <w:rFonts w:ascii="Verdana" w:cs="Arial" w:hAnsi="Verdana"/>
          <w:b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Unité de de Kinésithérapie et de Rééducation Fonctionnelle ;</w:t>
      </w:r>
    </w:p>
    <w:bookmarkStart w:id="14" w:name="_Toc225355679"/>
    <w:p>
      <w:pPr>
        <w:pStyle w:val="style3"/>
        <w:rPr/>
      </w:pPr>
      <w:r>
        <w:t>Le Département de Gynécologie et Obstétrique</w:t>
      </w:r>
      <w:bookmarkEnd w:id="14"/>
      <w:r>
        <w:t xml:space="preserve"> </w:t>
      </w:r>
    </w:p>
    <w:p>
      <w:pPr>
        <w:pStyle w:val="style179"/>
        <w:numPr>
          <w:ilvl w:val="0"/>
          <w:numId w:val="9"/>
        </w:numPr>
        <w:spacing w:after="0"/>
        <w:ind w:left="851" w:hanging="142"/>
        <w:rPr>
          <w:rFonts w:ascii="Verdana" w:cs="Arial" w:hAnsi="Verdana"/>
          <w:b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 xml:space="preserve">  Service d’Hospitalisation Gynéco-Obstétrique ;</w:t>
      </w:r>
    </w:p>
    <w:p>
      <w:pPr>
        <w:pStyle w:val="style179"/>
        <w:numPr>
          <w:ilvl w:val="0"/>
          <w:numId w:val="9"/>
        </w:numPr>
        <w:spacing w:after="0"/>
        <w:ind w:left="851" w:hanging="142"/>
        <w:rPr>
          <w:rFonts w:ascii="Verdana" w:cs="Arial" w:hAnsi="Verdana"/>
          <w:bCs/>
          <w:sz w:val="24"/>
          <w:szCs w:val="24"/>
        </w:rPr>
      </w:pPr>
      <w:r>
        <w:rPr>
          <w:rFonts w:ascii="Verdana" w:cs="Arial" w:hAnsi="Verdana"/>
          <w:bCs/>
          <w:sz w:val="24"/>
          <w:szCs w:val="24"/>
        </w:rPr>
        <w:t xml:space="preserve">  Unité Accouchement ;</w:t>
      </w:r>
    </w:p>
    <w:p>
      <w:pPr>
        <w:pStyle w:val="style179"/>
        <w:numPr>
          <w:ilvl w:val="0"/>
          <w:numId w:val="14"/>
        </w:numPr>
        <w:spacing w:after="0" w:lineRule="auto" w:line="259"/>
        <w:ind w:left="851" w:hanging="142"/>
        <w:jc w:val="left"/>
        <w:rPr>
          <w:rFonts w:ascii="Verdana" w:cs="Arial" w:hAnsi="Verdana"/>
          <w:bCs/>
          <w:sz w:val="24"/>
          <w:szCs w:val="24"/>
        </w:rPr>
      </w:pPr>
      <w:r>
        <w:rPr>
          <w:rFonts w:ascii="Verdana" w:cs="Arial" w:hAnsi="Verdana"/>
          <w:bCs/>
          <w:sz w:val="24"/>
          <w:szCs w:val="24"/>
        </w:rPr>
        <w:t xml:space="preserve">  Unité de Santé Publique ; </w:t>
      </w:r>
    </w:p>
    <w:p>
      <w:pPr>
        <w:pStyle w:val="style179"/>
        <w:spacing w:after="0" w:lineRule="auto" w:line="259"/>
        <w:ind w:left="851"/>
        <w:jc w:val="left"/>
        <w:rPr>
          <w:rFonts w:ascii="Verdana" w:cs="Arial" w:hAnsi="Verdana"/>
          <w:bCs/>
          <w:sz w:val="24"/>
          <w:szCs w:val="24"/>
        </w:rPr>
      </w:pPr>
    </w:p>
    <w:bookmarkStart w:id="15" w:name="_Toc225355680"/>
    <w:p>
      <w:pPr>
        <w:pStyle w:val="style3"/>
        <w:rPr/>
      </w:pPr>
      <w:r>
        <w:t>Le Département de Pédiatrie et Néonatalogie</w:t>
      </w:r>
      <w:bookmarkEnd w:id="15"/>
      <w:r>
        <w:t xml:space="preserve"> </w:t>
      </w:r>
    </w:p>
    <w:p>
      <w:pPr>
        <w:pStyle w:val="style179"/>
        <w:spacing w:after="0"/>
        <w:ind w:left="709"/>
        <w:rPr>
          <w:rFonts w:ascii="Verdana" w:cs="Arial" w:hAnsi="Verdana"/>
          <w:b/>
          <w:sz w:val="24"/>
          <w:szCs w:val="24"/>
          <w:u w:val="single"/>
        </w:rPr>
      </w:pPr>
      <w:r>
        <w:rPr>
          <w:rFonts w:ascii="Verdana" w:cs="Arial" w:hAnsi="Verdana"/>
          <w:sz w:val="24"/>
          <w:szCs w:val="24"/>
        </w:rPr>
        <w:t xml:space="preserve">-  Service de </w:t>
      </w:r>
      <w:r>
        <w:rPr>
          <w:rFonts w:ascii="Verdana" w:cs="Arial" w:hAnsi="Verdana"/>
          <w:bCs/>
          <w:sz w:val="24"/>
          <w:szCs w:val="24"/>
        </w:rPr>
        <w:t>Pédiatrie Générale </w:t>
      </w:r>
      <w:r>
        <w:rPr>
          <w:rFonts w:ascii="Verdana" w:cs="Arial" w:hAnsi="Verdana"/>
          <w:bCs/>
          <w:sz w:val="24"/>
          <w:szCs w:val="24"/>
        </w:rPr>
        <w:t>Hospitalisation ;</w:t>
      </w:r>
    </w:p>
    <w:p>
      <w:pPr>
        <w:pStyle w:val="style179"/>
        <w:spacing w:after="0"/>
        <w:ind w:left="709"/>
        <w:rPr>
          <w:rFonts w:ascii="Verdana" w:cs="Arial" w:hAnsi="Verdana"/>
          <w:bCs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 xml:space="preserve">-  Service </w:t>
      </w:r>
      <w:r>
        <w:rPr>
          <w:rFonts w:ascii="Verdana" w:cs="Arial" w:hAnsi="Verdana"/>
          <w:bCs/>
          <w:sz w:val="24"/>
          <w:szCs w:val="24"/>
        </w:rPr>
        <w:t>de Néonatalogie ;</w:t>
      </w:r>
    </w:p>
    <w:bookmarkStart w:id="16" w:name="_Toc225355681"/>
    <w:p>
      <w:pPr>
        <w:pStyle w:val="style3"/>
        <w:rPr/>
      </w:pPr>
      <w:r>
        <w:t>Le Département de médecine</w:t>
      </w:r>
      <w:bookmarkEnd w:id="16"/>
      <w:r>
        <w:t xml:space="preserve"> </w:t>
      </w:r>
    </w:p>
    <w:p>
      <w:pPr>
        <w:pStyle w:val="style179"/>
        <w:numPr>
          <w:ilvl w:val="0"/>
          <w:numId w:val="9"/>
        </w:numPr>
        <w:spacing w:after="0"/>
        <w:ind w:left="993" w:hanging="284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Service d’Hospitalisation Médecine Interne ;</w:t>
      </w:r>
    </w:p>
    <w:p>
      <w:pPr>
        <w:pStyle w:val="style179"/>
        <w:numPr>
          <w:ilvl w:val="0"/>
          <w:numId w:val="9"/>
        </w:numPr>
        <w:spacing w:after="0"/>
        <w:ind w:left="993" w:hanging="284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Service d’Endocrinologie/diabétologie ;</w:t>
      </w:r>
    </w:p>
    <w:p>
      <w:pPr>
        <w:pStyle w:val="style179"/>
        <w:numPr>
          <w:ilvl w:val="0"/>
          <w:numId w:val="11"/>
        </w:numPr>
        <w:spacing w:after="0" w:lineRule="auto" w:line="259"/>
        <w:ind w:left="993" w:hanging="284"/>
        <w:jc w:val="left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Service de Cardiologie ;</w:t>
      </w:r>
    </w:p>
    <w:p>
      <w:pPr>
        <w:pStyle w:val="style179"/>
        <w:numPr>
          <w:ilvl w:val="0"/>
          <w:numId w:val="11"/>
        </w:numPr>
        <w:spacing w:after="0"/>
        <w:ind w:left="993" w:hanging="284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Service d’</w:t>
      </w:r>
      <w:r>
        <w:rPr>
          <w:rFonts w:ascii="Verdana" w:cs="Arial" w:eastAsia="Times New Roman" w:hAnsi="Verdana"/>
          <w:sz w:val="24"/>
          <w:szCs w:val="24"/>
        </w:rPr>
        <w:t>Hépato gastroentérologie ;</w:t>
      </w:r>
    </w:p>
    <w:p>
      <w:pPr>
        <w:pStyle w:val="style179"/>
        <w:numPr>
          <w:ilvl w:val="0"/>
          <w:numId w:val="11"/>
        </w:numPr>
        <w:spacing w:after="0"/>
        <w:ind w:left="993" w:hanging="284"/>
        <w:rPr>
          <w:rFonts w:ascii="Verdana" w:cs="Arial" w:hAnsi="Verdana"/>
          <w:sz w:val="24"/>
          <w:szCs w:val="24"/>
        </w:rPr>
      </w:pPr>
      <w:r>
        <w:rPr>
          <w:rFonts w:ascii="Verdana" w:cs="Arial" w:eastAsia="Times New Roman" w:hAnsi="Verdana"/>
          <w:sz w:val="24"/>
          <w:szCs w:val="24"/>
        </w:rPr>
        <w:t xml:space="preserve">Service de Neurologie ; </w:t>
      </w:r>
    </w:p>
    <w:p>
      <w:pPr>
        <w:pStyle w:val="style179"/>
        <w:numPr>
          <w:ilvl w:val="0"/>
          <w:numId w:val="11"/>
        </w:numPr>
        <w:spacing w:after="0"/>
        <w:ind w:left="993" w:hanging="284"/>
        <w:rPr>
          <w:rFonts w:ascii="Verdana" w:cs="Arial" w:hAnsi="Verdana"/>
          <w:sz w:val="24"/>
          <w:szCs w:val="24"/>
        </w:rPr>
      </w:pPr>
      <w:r>
        <w:rPr>
          <w:rFonts w:ascii="Verdana" w:cs="Arial" w:eastAsia="Times New Roman" w:hAnsi="Verdana"/>
          <w:sz w:val="24"/>
          <w:szCs w:val="24"/>
        </w:rPr>
        <w:t xml:space="preserve">Service de Pneumologie ; </w:t>
      </w:r>
    </w:p>
    <w:p>
      <w:pPr>
        <w:pStyle w:val="style179"/>
        <w:numPr>
          <w:ilvl w:val="0"/>
          <w:numId w:val="11"/>
        </w:numPr>
        <w:spacing w:after="0"/>
        <w:ind w:left="993" w:hanging="284"/>
        <w:rPr>
          <w:rFonts w:ascii="Verdana" w:cs="Arial" w:hAnsi="Verdana"/>
          <w:sz w:val="24"/>
          <w:szCs w:val="24"/>
        </w:rPr>
      </w:pPr>
      <w:r>
        <w:rPr>
          <w:rFonts w:ascii="Verdana" w:cs="Arial" w:eastAsia="Times New Roman" w:hAnsi="Verdana"/>
          <w:sz w:val="24"/>
          <w:szCs w:val="24"/>
        </w:rPr>
        <w:t>Service de Rhumatologie ;</w:t>
      </w:r>
    </w:p>
    <w:p>
      <w:pPr>
        <w:pStyle w:val="style179"/>
        <w:numPr>
          <w:ilvl w:val="0"/>
          <w:numId w:val="11"/>
        </w:numPr>
        <w:spacing w:after="0"/>
        <w:ind w:left="993" w:hanging="284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Service d’</w:t>
      </w:r>
      <w:r>
        <w:rPr>
          <w:rFonts w:ascii="Verdana" w:cs="Arial" w:hAnsi="Verdana"/>
          <w:sz w:val="24"/>
          <w:szCs w:val="24"/>
        </w:rPr>
        <w:t>O</w:t>
      </w:r>
      <w:r>
        <w:rPr>
          <w:rFonts w:ascii="Verdana" w:cs="Arial" w:hAnsi="Verdana"/>
          <w:sz w:val="24"/>
          <w:szCs w:val="24"/>
        </w:rPr>
        <w:t>ncologie ;</w:t>
      </w:r>
    </w:p>
    <w:p>
      <w:pPr>
        <w:pStyle w:val="style179"/>
        <w:numPr>
          <w:ilvl w:val="0"/>
          <w:numId w:val="11"/>
        </w:numPr>
        <w:spacing w:after="0"/>
        <w:ind w:left="993" w:hanging="284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Service de D</w:t>
      </w:r>
      <w:r>
        <w:rPr>
          <w:rFonts w:ascii="Verdana" w:cs="Arial" w:hAnsi="Verdana"/>
          <w:sz w:val="24"/>
          <w:szCs w:val="24"/>
        </w:rPr>
        <w:t>ermatologie ;</w:t>
      </w:r>
    </w:p>
    <w:bookmarkStart w:id="17" w:name="_Toc225355682"/>
    <w:p>
      <w:pPr>
        <w:pStyle w:val="style3"/>
        <w:rPr/>
      </w:pPr>
      <w:r>
        <w:t>Le Département d’appui au diagnostic et au traitement</w:t>
      </w:r>
      <w:bookmarkEnd w:id="17"/>
    </w:p>
    <w:p>
      <w:pPr>
        <w:pStyle w:val="style179"/>
        <w:numPr>
          <w:ilvl w:val="0"/>
          <w:numId w:val="12"/>
        </w:numPr>
        <w:spacing w:after="0" w:lineRule="auto" w:line="259"/>
        <w:ind w:left="993" w:hanging="284"/>
        <w:jc w:val="left"/>
        <w:rPr>
          <w:rFonts w:ascii="Verdana" w:cs="Arial" w:hAnsi="Verdana"/>
          <w:b/>
          <w:sz w:val="24"/>
          <w:szCs w:val="24"/>
          <w:u w:val="single"/>
        </w:rPr>
      </w:pPr>
      <w:r>
        <w:rPr>
          <w:rFonts w:ascii="Verdana" w:cs="Arial" w:hAnsi="Verdana"/>
          <w:sz w:val="24"/>
          <w:szCs w:val="24"/>
        </w:rPr>
        <w:t>Service Laboratoires et Banque de Sang ;</w:t>
      </w:r>
    </w:p>
    <w:p>
      <w:pPr>
        <w:pStyle w:val="style179"/>
        <w:numPr>
          <w:ilvl w:val="0"/>
          <w:numId w:val="12"/>
        </w:numPr>
        <w:spacing w:after="0" w:lineRule="auto" w:line="259"/>
        <w:ind w:left="993" w:hanging="284"/>
        <w:jc w:val="left"/>
        <w:rPr>
          <w:rFonts w:ascii="Verdana" w:cs="Arial" w:hAnsi="Verdana"/>
          <w:b/>
          <w:sz w:val="24"/>
          <w:szCs w:val="24"/>
          <w:u w:val="single"/>
        </w:rPr>
      </w:pPr>
      <w:r>
        <w:rPr>
          <w:rFonts w:ascii="Verdana" w:cs="Arial" w:hAnsi="Verdana"/>
          <w:sz w:val="24"/>
          <w:szCs w:val="24"/>
        </w:rPr>
        <w:t>Service Pharmacie ;</w:t>
      </w:r>
    </w:p>
    <w:bookmarkStart w:id="18" w:name="_Hlk224477743"/>
    <w:p>
      <w:pPr>
        <w:pStyle w:val="style179"/>
        <w:numPr>
          <w:ilvl w:val="0"/>
          <w:numId w:val="12"/>
        </w:numPr>
        <w:spacing w:after="0" w:lineRule="auto" w:line="259"/>
        <w:ind w:left="993" w:hanging="284"/>
        <w:jc w:val="left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Unité</w:t>
      </w:r>
      <w:bookmarkEnd w:id="18"/>
      <w:r>
        <w:rPr>
          <w:rFonts w:ascii="Verdana" w:cs="Arial" w:hAnsi="Verdana"/>
          <w:sz w:val="24"/>
          <w:szCs w:val="24"/>
        </w:rPr>
        <w:t xml:space="preserve"> de stérilisation </w:t>
      </w:r>
    </w:p>
    <w:p>
      <w:pPr>
        <w:pStyle w:val="style179"/>
        <w:numPr>
          <w:ilvl w:val="0"/>
          <w:numId w:val="12"/>
        </w:numPr>
        <w:spacing w:after="0" w:lineRule="auto" w:line="259"/>
        <w:ind w:left="993" w:hanging="284"/>
        <w:jc w:val="left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 xml:space="preserve"> </w:t>
      </w:r>
      <w:r>
        <w:rPr>
          <w:rFonts w:ascii="Verdana" w:cs="Arial" w:hAnsi="Verdana"/>
          <w:sz w:val="24"/>
          <w:szCs w:val="24"/>
        </w:rPr>
        <w:t xml:space="preserve">Unité </w:t>
      </w:r>
      <w:r>
        <w:rPr>
          <w:rFonts w:ascii="Verdana" w:cs="Arial" w:hAnsi="Verdana"/>
          <w:sz w:val="24"/>
          <w:szCs w:val="24"/>
        </w:rPr>
        <w:t>buanderie ;</w:t>
      </w:r>
    </w:p>
    <w:p>
      <w:pPr>
        <w:pStyle w:val="style179"/>
        <w:numPr>
          <w:ilvl w:val="0"/>
          <w:numId w:val="12"/>
        </w:numPr>
        <w:spacing w:after="0" w:lineRule="auto" w:line="259"/>
        <w:ind w:left="993" w:hanging="284"/>
        <w:jc w:val="left"/>
        <w:rPr>
          <w:rFonts w:ascii="Verdana" w:cs="Arial" w:hAnsi="Verdana"/>
          <w:b/>
          <w:sz w:val="24"/>
          <w:szCs w:val="24"/>
          <w:u w:val="single"/>
        </w:rPr>
      </w:pPr>
      <w:r>
        <w:rPr>
          <w:rFonts w:ascii="Verdana" w:cs="Arial" w:hAnsi="Verdana"/>
          <w:sz w:val="24"/>
          <w:szCs w:val="24"/>
        </w:rPr>
        <w:t>Service d’Imagerie Médicale ;</w:t>
      </w:r>
    </w:p>
    <w:bookmarkStart w:id="19" w:name="_Toc225355683"/>
    <w:p>
      <w:pPr>
        <w:pStyle w:val="style3"/>
        <w:rPr/>
      </w:pPr>
      <w:r>
        <w:t>Le Département des Urgences et consultations externes</w:t>
      </w:r>
      <w:bookmarkEnd w:id="19"/>
      <w:r>
        <w:t xml:space="preserve"> </w:t>
      </w:r>
    </w:p>
    <w:p>
      <w:pPr>
        <w:pStyle w:val="style179"/>
        <w:numPr>
          <w:ilvl w:val="0"/>
          <w:numId w:val="9"/>
        </w:numPr>
        <w:spacing w:after="0"/>
        <w:ind w:left="851" w:hanging="142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 xml:space="preserve">  Service des Urgences ;</w:t>
      </w:r>
    </w:p>
    <w:p>
      <w:pPr>
        <w:pStyle w:val="style179"/>
        <w:numPr>
          <w:ilvl w:val="0"/>
          <w:numId w:val="9"/>
        </w:numPr>
        <w:spacing w:after="0"/>
        <w:ind w:left="851" w:hanging="142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 xml:space="preserve">  Service de</w:t>
      </w:r>
      <w:r>
        <w:rPr>
          <w:rFonts w:ascii="Verdana" w:cs="Arial" w:hAnsi="Verdana"/>
          <w:sz w:val="24"/>
          <w:szCs w:val="24"/>
        </w:rPr>
        <w:t>s</w:t>
      </w:r>
      <w:r>
        <w:rPr>
          <w:rFonts w:ascii="Verdana" w:cs="Arial" w:hAnsi="Verdana"/>
          <w:sz w:val="24"/>
          <w:szCs w:val="24"/>
        </w:rPr>
        <w:t xml:space="preserve"> Consultations Externes</w:t>
      </w:r>
      <w:r>
        <w:rPr>
          <w:rFonts w:ascii="Verdana" w:cs="Arial" w:hAnsi="Verdana"/>
          <w:sz w:val="24"/>
          <w:szCs w:val="24"/>
        </w:rPr>
        <w:t> </w:t>
      </w:r>
      <w:r>
        <w:rPr>
          <w:rFonts w:ascii="Verdana" w:cs="Arial" w:hAnsi="Verdana"/>
          <w:sz w:val="24"/>
          <w:szCs w:val="24"/>
        </w:rPr>
        <w:t xml:space="preserve">; </w:t>
      </w:r>
    </w:p>
    <w:bookmarkStart w:id="20" w:name="_Toc225355684"/>
    <w:p>
      <w:pPr>
        <w:pStyle w:val="style3"/>
        <w:rPr>
          <w:u w:val="none"/>
        </w:rPr>
      </w:pPr>
      <w:r>
        <w:t>Les Services supports</w:t>
      </w:r>
      <w:bookmarkEnd w:id="20"/>
    </w:p>
    <w:p>
      <w:pPr>
        <w:pStyle w:val="style179"/>
        <w:spacing w:after="0" w:lineRule="auto" w:line="259"/>
        <w:rPr>
          <w:rFonts w:ascii="Verdana" w:cs="Arial" w:hAnsi="Verdana"/>
          <w:b/>
          <w:sz w:val="24"/>
          <w:szCs w:val="24"/>
        </w:rPr>
      </w:pPr>
      <w:r>
        <w:rPr>
          <w:rFonts w:ascii="Verdana" w:cs="Arial" w:hAnsi="Verdana"/>
          <w:b/>
          <w:sz w:val="24"/>
          <w:szCs w:val="24"/>
          <w:u w:val="single"/>
        </w:rPr>
        <w:t>-</w:t>
      </w:r>
      <w:r>
        <w:rPr>
          <w:rFonts w:ascii="Verdana" w:cs="Arial" w:eastAsia="Times New Roman" w:hAnsi="Verdana"/>
          <w:sz w:val="24"/>
          <w:szCs w:val="24"/>
        </w:rPr>
        <w:t xml:space="preserve">maintenance biomédicale et du réseau des </w:t>
      </w:r>
      <w:r>
        <w:rPr>
          <w:rFonts w:ascii="Verdana" w:cs="Arial" w:hAnsi="Verdana"/>
          <w:sz w:val="24"/>
          <w:szCs w:val="24"/>
        </w:rPr>
        <w:t xml:space="preserve">fluides médicaux, </w:t>
      </w:r>
      <w:r>
        <w:rPr>
          <w:rFonts w:ascii="Verdana" w:cs="Arial" w:eastAsia="Times New Roman" w:hAnsi="Verdana"/>
          <w:sz w:val="24"/>
          <w:szCs w:val="24"/>
        </w:rPr>
        <w:t>maintenance Électrique, Froid et Climatisation, maintenance génie civile</w:t>
      </w:r>
    </w:p>
    <w:p>
      <w:pPr>
        <w:pStyle w:val="style179"/>
        <w:numPr>
          <w:ilvl w:val="0"/>
          <w:numId w:val="10"/>
        </w:numPr>
        <w:spacing w:after="0" w:lineRule="auto" w:line="240"/>
        <w:ind w:left="851" w:hanging="153"/>
        <w:rPr>
          <w:rFonts w:ascii="Verdana" w:cs="Arial" w:hAnsi="Verdana"/>
          <w:b/>
          <w:sz w:val="24"/>
          <w:szCs w:val="24"/>
        </w:rPr>
      </w:pPr>
      <w:r>
        <w:rPr>
          <w:rFonts w:ascii="Verdana" w:cs="Arial" w:eastAsia="Times New Roman" w:hAnsi="Verdana"/>
          <w:sz w:val="24"/>
          <w:szCs w:val="24"/>
        </w:rPr>
        <w:t xml:space="preserve">  Cellule Informatique et Télécommunications</w:t>
      </w:r>
      <w:r>
        <w:rPr>
          <w:rFonts w:ascii="Verdana" w:cs="Arial" w:eastAsia="Times New Roman" w:hAnsi="Verdana"/>
          <w:sz w:val="24"/>
          <w:szCs w:val="24"/>
        </w:rPr>
        <w:t> </w:t>
      </w:r>
      <w:r>
        <w:rPr>
          <w:rFonts w:ascii="Verdana" w:cs="Arial" w:eastAsia="Times New Roman" w:hAnsi="Verdana"/>
          <w:sz w:val="24"/>
          <w:szCs w:val="24"/>
        </w:rPr>
        <w:t>;</w:t>
      </w:r>
    </w:p>
    <w:bookmarkStart w:id="21" w:name="_Toc225355685"/>
    <w:p>
      <w:pPr>
        <w:pStyle w:val="style3"/>
        <w:rPr/>
      </w:pPr>
      <w:r>
        <w:t>Le Service d’Hygiène et Assainissement</w:t>
      </w:r>
      <w:bookmarkEnd w:id="21"/>
      <w:r>
        <w:t> </w:t>
      </w:r>
    </w:p>
    <w:p>
      <w:pPr>
        <w:pStyle w:val="style179"/>
        <w:numPr>
          <w:ilvl w:val="0"/>
          <w:numId w:val="13"/>
        </w:numPr>
        <w:spacing w:after="0" w:lineRule="auto" w:line="259"/>
        <w:ind w:left="851" w:hanging="153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 xml:space="preserve">  Unité Eau, </w:t>
      </w:r>
      <w:r>
        <w:rPr>
          <w:rFonts w:ascii="Verdana" w:cs="Arial" w:hAnsi="Verdana"/>
          <w:sz w:val="24"/>
          <w:szCs w:val="24"/>
        </w:rPr>
        <w:t>Hygiène et Assainissement (WASH</w:t>
      </w:r>
      <w:r>
        <w:rPr>
          <w:rFonts w:ascii="Verdana" w:cs="Arial" w:hAnsi="Verdana"/>
          <w:sz w:val="24"/>
          <w:szCs w:val="24"/>
        </w:rPr>
        <w:t>)</w:t>
      </w:r>
    </w:p>
    <w:p>
      <w:pPr>
        <w:pStyle w:val="style179"/>
        <w:numPr>
          <w:ilvl w:val="0"/>
          <w:numId w:val="13"/>
        </w:numPr>
        <w:spacing w:after="0" w:lineRule="auto" w:line="259"/>
        <w:ind w:left="851" w:hanging="153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 xml:space="preserve">  Unité </w:t>
      </w:r>
      <w:r>
        <w:rPr>
          <w:rFonts w:ascii="Verdana" w:cs="Arial" w:hAnsi="Verdana"/>
          <w:sz w:val="24"/>
          <w:szCs w:val="24"/>
        </w:rPr>
        <w:t>Prévention et Contrôle des Infections (PCI)</w:t>
      </w:r>
      <w:r>
        <w:rPr>
          <w:rFonts w:ascii="Verdana" w:cs="Arial" w:hAnsi="Verdana"/>
          <w:sz w:val="24"/>
          <w:szCs w:val="24"/>
        </w:rPr>
        <w:t> </w:t>
      </w:r>
      <w:r>
        <w:rPr>
          <w:rFonts w:ascii="Verdana" w:cs="Arial" w:hAnsi="Verdana"/>
          <w:sz w:val="24"/>
          <w:szCs w:val="24"/>
        </w:rPr>
        <w:t>;</w:t>
      </w:r>
    </w:p>
    <w:p>
      <w:pPr>
        <w:pStyle w:val="style179"/>
        <w:numPr>
          <w:ilvl w:val="0"/>
          <w:numId w:val="13"/>
        </w:numPr>
        <w:spacing w:after="0" w:lineRule="auto" w:line="259"/>
        <w:ind w:left="851" w:hanging="153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 xml:space="preserve">  Morgue</w:t>
      </w:r>
    </w:p>
    <w:p>
      <w:pPr>
        <w:pStyle w:val="style0"/>
        <w:spacing w:after="0" w:lineRule="auto" w:line="259"/>
        <w:ind w:left="698"/>
        <w:rPr>
          <w:rFonts w:ascii="Verdana" w:cs="Arial" w:hAnsi="Verdana"/>
          <w:sz w:val="24"/>
          <w:szCs w:val="24"/>
        </w:rPr>
      </w:pPr>
    </w:p>
    <w:p>
      <w:pPr>
        <w:pStyle w:val="style2"/>
        <w:rPr>
          <w:color w:val="00b050"/>
        </w:rPr>
      </w:pPr>
      <w:r>
        <w:rPr>
          <w:color w:val="00b050"/>
        </w:rPr>
        <w:tab/>
      </w:r>
      <w:bookmarkStart w:id="22" w:name="_Toc225355686"/>
      <w:r>
        <w:rPr>
          <w:color w:val="00b050"/>
        </w:rPr>
        <w:t>Le personnel</w:t>
      </w:r>
      <w:bookmarkEnd w:id="22"/>
    </w:p>
    <w:p>
      <w:pPr>
        <w:pStyle w:val="style0"/>
        <w:jc w:val="both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La situation du personnel en fin 202</w:t>
      </w:r>
      <w:r>
        <w:rPr>
          <w:rFonts w:ascii="Verdana" w:cs="Arial" w:hAnsi="Verdana"/>
          <w:sz w:val="24"/>
          <w:szCs w:val="24"/>
        </w:rPr>
        <w:t>5</w:t>
      </w:r>
      <w:r>
        <w:rPr>
          <w:rFonts w:ascii="Verdana" w:cs="Arial" w:hAnsi="Verdana"/>
          <w:sz w:val="24"/>
          <w:szCs w:val="24"/>
        </w:rPr>
        <w:t xml:space="preserve"> est récapitulée dans le tableau ci-dessous</w:t>
      </w:r>
      <w:r>
        <w:rPr>
          <w:rFonts w:ascii="Verdana" w:cs="Arial" w:hAnsi="Verdana"/>
          <w:sz w:val="24"/>
          <w:szCs w:val="24"/>
        </w:rPr>
        <w:t> </w:t>
      </w:r>
      <w:r>
        <w:rPr>
          <w:rFonts w:ascii="Verdana" w:cs="Arial" w:hAnsi="Verdana"/>
          <w:sz w:val="24"/>
          <w:szCs w:val="24"/>
        </w:rPr>
        <w:t xml:space="preserve">; comme on peut le constater, </w:t>
      </w:r>
      <w:r>
        <w:rPr>
          <w:rFonts w:ascii="Verdana" w:cs="Arial" w:hAnsi="Verdana"/>
          <w:sz w:val="24"/>
          <w:szCs w:val="24"/>
        </w:rPr>
        <w:t>238</w:t>
      </w:r>
      <w:r>
        <w:rPr>
          <w:rFonts w:ascii="Verdana" w:cs="Arial" w:hAnsi="Verdana"/>
          <w:sz w:val="24"/>
          <w:szCs w:val="24"/>
        </w:rPr>
        <w:t xml:space="preserve"> personnes travaillent </w:t>
      </w:r>
      <w:r>
        <w:rPr>
          <w:rFonts w:ascii="Verdana" w:cs="Arial" w:hAnsi="Verdana"/>
          <w:sz w:val="24"/>
          <w:szCs w:val="24"/>
        </w:rPr>
        <w:t xml:space="preserve">au </w:t>
      </w:r>
      <w:r>
        <w:rPr>
          <w:rFonts w:ascii="Verdana" w:cs="Arial" w:hAnsi="Verdana"/>
          <w:sz w:val="24"/>
          <w:szCs w:val="24"/>
        </w:rPr>
        <w:t>CHRM</w:t>
      </w:r>
      <w:r>
        <w:rPr>
          <w:rFonts w:ascii="Verdana" w:cs="Arial" w:hAnsi="Verdana"/>
          <w:sz w:val="24"/>
          <w:szCs w:val="24"/>
        </w:rPr>
        <w:t xml:space="preserve"> et </w:t>
      </w:r>
      <w:r>
        <w:rPr>
          <w:rFonts w:ascii="Verdana" w:cs="Arial" w:hAnsi="Verdana"/>
          <w:sz w:val="24"/>
          <w:szCs w:val="24"/>
        </w:rPr>
        <w:t>79</w:t>
      </w:r>
      <w:r>
        <w:rPr>
          <w:rFonts w:ascii="Verdana" w:cs="Arial" w:hAnsi="Verdana"/>
          <w:sz w:val="24"/>
          <w:szCs w:val="24"/>
        </w:rPr>
        <w:t>,</w:t>
      </w:r>
      <w:r>
        <w:rPr>
          <w:rFonts w:ascii="Verdana" w:cs="Arial" w:hAnsi="Verdana"/>
          <w:sz w:val="24"/>
          <w:szCs w:val="24"/>
        </w:rPr>
        <w:t xml:space="preserve">4 </w:t>
      </w:r>
      <w:r>
        <w:rPr>
          <w:rFonts w:ascii="Verdana" w:cs="Arial" w:hAnsi="Verdana"/>
          <w:sz w:val="24"/>
          <w:szCs w:val="24"/>
        </w:rPr>
        <w:t xml:space="preserve">% de personnel est pris en charge par l’hôpital (contractuels vacataires). </w:t>
      </w:r>
    </w:p>
    <w:p>
      <w:pPr>
        <w:pStyle w:val="style0"/>
        <w:jc w:val="both"/>
        <w:rPr>
          <w:rFonts w:ascii="Verdana" w:cs="Arial" w:hAnsi="Verdana"/>
          <w:sz w:val="24"/>
          <w:szCs w:val="24"/>
        </w:rPr>
      </w:pPr>
    </w:p>
    <w:p>
      <w:pPr>
        <w:pStyle w:val="style0"/>
        <w:spacing w:after="0"/>
        <w:jc w:val="both"/>
        <w:rPr>
          <w:rFonts w:ascii="Verdana" w:cs="Arial" w:hAnsi="Verdana"/>
        </w:rPr>
      </w:pPr>
      <w:r>
        <w:rPr>
          <w:rFonts w:ascii="Verdana" w:cs="Arial" w:hAnsi="Verdana"/>
          <w:b/>
          <w:bCs/>
          <w:u w:val="single"/>
        </w:rPr>
        <w:t xml:space="preserve">Tableau </w:t>
      </w:r>
      <w:r>
        <w:rPr>
          <w:rFonts w:ascii="Verdana" w:cs="Arial" w:hAnsi="Verdana"/>
          <w:b/>
          <w:bCs/>
          <w:u w:val="single"/>
        </w:rPr>
        <w:t>1</w:t>
      </w:r>
      <w:r>
        <w:rPr>
          <w:rFonts w:ascii="Verdana" w:cs="Arial" w:hAnsi="Verdana"/>
        </w:rPr>
        <w:t> </w:t>
      </w:r>
      <w:r>
        <w:rPr>
          <w:rFonts w:ascii="Verdana" w:cs="Arial" w:hAnsi="Verdana"/>
        </w:rPr>
        <w:t>: Situation du personnel d</w:t>
      </w:r>
      <w:r>
        <w:rPr>
          <w:rFonts w:ascii="Verdana" w:cs="Arial" w:hAnsi="Verdana"/>
        </w:rPr>
        <w:t>u CHRM</w:t>
      </w:r>
      <w:r>
        <w:rPr>
          <w:rFonts w:ascii="Verdana" w:cs="Arial" w:hAnsi="Verdana"/>
        </w:rPr>
        <w:t xml:space="preserve"> au 31 décembre 202</w:t>
      </w:r>
      <w:r>
        <w:rPr>
          <w:rFonts w:ascii="Verdana" w:cs="Arial" w:hAnsi="Verdana"/>
        </w:rPr>
        <w:t>5</w:t>
      </w:r>
    </w:p>
    <w:tbl>
      <w:tblPr>
        <w:tblW w:w="515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5295"/>
        <w:gridCol w:w="720"/>
        <w:gridCol w:w="720"/>
        <w:gridCol w:w="502"/>
        <w:gridCol w:w="1002"/>
        <w:gridCol w:w="766"/>
      </w:tblGrid>
      <w:tr>
        <w:trPr>
          <w:trHeight w:val="300" w:hRule="atLeast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val="fr-FR" w:eastAsia="fr-CM"/>
              </w:rPr>
              <w:t> 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b0f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b0f0"/>
                <w:sz w:val="20"/>
                <w:szCs w:val="20"/>
                <w:lang w:val="fr-FR" w:eastAsia="fr-CM"/>
              </w:rPr>
              <w:t>GRADE</w:t>
            </w:r>
          </w:p>
        </w:tc>
        <w:tc>
          <w:tcPr>
            <w:tcW w:w="14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b0f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b0f0"/>
                <w:sz w:val="20"/>
                <w:szCs w:val="20"/>
                <w:lang w:val="fr-FR" w:eastAsia="fr-CM"/>
              </w:rPr>
              <w:t>NOMBRE PAR STATUT</w:t>
            </w:r>
          </w:p>
        </w:tc>
      </w:tr>
      <w:tr>
        <w:tblPrEx/>
        <w:trPr>
          <w:trHeight w:val="51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b0f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b0f0"/>
                <w:sz w:val="20"/>
                <w:szCs w:val="20"/>
                <w:lang w:val="fr-FR" w:eastAsia="fr-CM"/>
              </w:rPr>
              <w:t>N°</w:t>
            </w:r>
          </w:p>
        </w:tc>
        <w:tc>
          <w:tcPr>
            <w:tcW w:w="2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b0f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b0f0"/>
                <w:sz w:val="20"/>
                <w:szCs w:val="20"/>
                <w:lang w:val="fr-FR" w:eastAsia="fr-CM"/>
              </w:rPr>
              <w:t>Corps de Métiers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b0f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b0f0"/>
                <w:sz w:val="20"/>
                <w:szCs w:val="20"/>
                <w:lang w:val="fr-FR" w:eastAsia="fr-CM"/>
              </w:rPr>
              <w:t>SPECIALITE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b0f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b0f0"/>
                <w:sz w:val="20"/>
                <w:szCs w:val="20"/>
                <w:lang w:val="fr-FR" w:eastAsia="fr-CM"/>
              </w:rPr>
              <w:t>Eta</w:t>
            </w:r>
            <w:r>
              <w:rPr>
                <w:rFonts w:ascii="Verdana" w:cs="Calibri" w:eastAsia="Times New Roman" w:hAnsi="Verdana"/>
                <w:b/>
                <w:bCs/>
                <w:color w:val="00b0f0"/>
                <w:sz w:val="20"/>
                <w:szCs w:val="20"/>
                <w:lang w:val="fr-FR" w:eastAsia="fr-CM"/>
              </w:rPr>
              <w:t>t</w:t>
            </w:r>
            <w:r>
              <w:rPr>
                <w:rFonts w:ascii="Verdana" w:cs="Calibri" w:eastAsia="Times New Roman" w:hAnsi="Verdana"/>
                <w:b/>
                <w:bCs/>
                <w:color w:val="00b0f0"/>
                <w:sz w:val="20"/>
                <w:szCs w:val="20"/>
                <w:lang w:val="fr-FR" w:eastAsia="fr-CM"/>
              </w:rPr>
              <w:t xml:space="preserve"> 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b0f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b0f0"/>
                <w:sz w:val="20"/>
                <w:szCs w:val="20"/>
                <w:lang w:val="fr-FR" w:eastAsia="fr-CM"/>
              </w:rPr>
              <w:t>Vacataire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b0f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b0f0"/>
                <w:sz w:val="20"/>
                <w:szCs w:val="20"/>
                <w:lang w:val="fr-FR" w:eastAsia="fr-CM"/>
              </w:rPr>
              <w:t>TOTAL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b0f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b0f0"/>
                <w:sz w:val="20"/>
                <w:szCs w:val="20"/>
                <w:lang w:eastAsia="fr-CM"/>
              </w:rPr>
              <w:t> </w:t>
            </w:r>
          </w:p>
        </w:tc>
        <w:tc>
          <w:tcPr>
            <w:tcW w:w="25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Médecins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Santé publique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</w:t>
            </w:r>
          </w:p>
        </w:tc>
        <w:tc>
          <w:tcPr>
            <w:tcW w:w="2545" w:type="pct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Pédiatre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2545" w:type="pct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Gynécologue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2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2545" w:type="pct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Chirurgien-dentiste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3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2545" w:type="pct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Radiologue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2545" w:type="pct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Pharmacien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2545" w:type="pct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Urologue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2545" w:type="pct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Dermatologue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2545" w:type="pct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Chirurgien Pédiatrique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2545" w:type="pct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Cardiologue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2545" w:type="pct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ANAPATH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2545" w:type="pct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Anesthésie-Réanimation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2545" w:type="pct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Médecin Généraliste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3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2</w:t>
            </w:r>
          </w:p>
        </w:tc>
        <w:tc>
          <w:tcPr>
            <w:tcW w:w="25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Infirmiers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Supérieur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5</w:t>
            </w:r>
          </w:p>
        </w:tc>
      </w:tr>
      <w:tr>
        <w:tblPrEx/>
        <w:trPr>
          <w:trHeight w:val="255" w:hRule="atLeast"/>
        </w:trPr>
        <w:tc>
          <w:tcPr>
            <w:tcW w:w="213" w:type="pct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2545" w:type="pct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Principal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30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35</w:t>
            </w:r>
          </w:p>
        </w:tc>
      </w:tr>
      <w:tr>
        <w:tblPrEx/>
        <w:trPr>
          <w:trHeight w:val="225" w:hRule="atLeast"/>
        </w:trPr>
        <w:tc>
          <w:tcPr>
            <w:tcW w:w="213" w:type="pct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2545" w:type="pct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Ophtalmologie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3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2545" w:type="pct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Anesthésie et Réanimation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6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2545" w:type="pct"/>
            <w:vMerge w:val="continue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val="fr-FR" w:eastAsia="fr-CM"/>
              </w:rPr>
              <w:t xml:space="preserve">Ppale </w:t>
            </w:r>
            <w:r>
              <w:rPr>
                <w:rFonts w:ascii="Verdana" w:cs="Calibri" w:eastAsia="Times New Roman" w:hAnsi="Verdana"/>
                <w:sz w:val="20"/>
                <w:szCs w:val="20"/>
                <w:lang w:val="fr-FR" w:eastAsia="fr-CM"/>
              </w:rPr>
              <w:t xml:space="preserve">spécialisée en </w:t>
            </w:r>
            <w:r>
              <w:rPr>
                <w:rFonts w:ascii="Verdana" w:cs="Calibri" w:eastAsia="Times New Roman" w:hAnsi="Verdana"/>
                <w:sz w:val="20"/>
                <w:szCs w:val="20"/>
                <w:lang w:val="fr-FR" w:eastAsia="fr-CM"/>
              </w:rPr>
              <w:t>Néphrologie</w:t>
            </w:r>
            <w:r>
              <w:rPr>
                <w:rFonts w:ascii="Verdana" w:cs="Calibri" w:eastAsia="Times New Roman" w:hAnsi="Verdana"/>
                <w:sz w:val="20"/>
                <w:szCs w:val="20"/>
                <w:lang w:val="fr-FR" w:eastAsia="fr-CM"/>
              </w:rPr>
              <w:t> 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3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 xml:space="preserve">Aide-Soignant Généraliste 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27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28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5</w:t>
            </w:r>
          </w:p>
        </w:tc>
        <w:tc>
          <w:tcPr>
            <w:tcW w:w="25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ATMS</w:t>
            </w:r>
          </w:p>
        </w:tc>
        <w:tc>
          <w:tcPr>
            <w:tcW w:w="7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Morgue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</w:tr>
      <w:tr>
        <w:tblPrEx/>
        <w:trPr>
          <w:trHeight w:val="120" w:hRule="atLeast"/>
        </w:trPr>
        <w:tc>
          <w:tcPr>
            <w:tcW w:w="213" w:type="pct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2545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7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Analyse Médicale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8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2545" w:type="pct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7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Kinésithérapie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</w:tr>
      <w:tr>
        <w:tblPrEx/>
        <w:trPr>
          <w:trHeight w:val="27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6</w:t>
            </w:r>
          </w:p>
        </w:tc>
        <w:tc>
          <w:tcPr>
            <w:tcW w:w="2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ITMS/TMS</w:t>
            </w:r>
          </w:p>
        </w:tc>
        <w:tc>
          <w:tcPr>
            <w:tcW w:w="7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Analyse Médicale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10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7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Contrôleur adjoint de régie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8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Ingénieur Biomédical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9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Technicien Biomédical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3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10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SF/Maïeuticien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11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11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ING/TPMS-IM/Radiologie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5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12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TPGS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3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13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Chauffeur (Ambulanciers)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3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14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Agents d’Entretien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25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25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15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TMS-SP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2</w:t>
            </w:r>
          </w:p>
        </w:tc>
      </w:tr>
      <w:tr>
        <w:tblPrEx/>
        <w:trPr>
          <w:trHeight w:val="51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16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TPMS, Sciences de la Réhabilitation et Physiothérapie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2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17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ATMS-SP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11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18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Brancardiers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5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5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19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Agents de Buanderie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6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20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ING de Conception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21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Commis de Cuisine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6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22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Agents Back Offices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2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23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Caissiers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4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24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Secrétaires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6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6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25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Agents Stérilisation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4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26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Hôtesse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2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27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ING des Travaux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2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28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Informaticiens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3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29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Agents d’Accueil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4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30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Nutritionniste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31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Qualiticienne et Assistante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2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32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RRH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33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Communicateur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34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Assistantes Archivistes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2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35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 xml:space="preserve">Assistante Comptable Matières 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36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Standardiste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37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Technicien froid et climatisation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38</w:t>
            </w:r>
          </w:p>
        </w:tc>
        <w:tc>
          <w:tcPr>
            <w:tcW w:w="33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Tailleur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val="fr-FR" w:eastAsia="fr-CM"/>
              </w:rPr>
              <w:t>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</w:tr>
      <w:tr>
        <w:tblPrEx/>
        <w:trPr>
          <w:trHeight w:val="300" w:hRule="atLeast"/>
        </w:trPr>
        <w:tc>
          <w:tcPr>
            <w:tcW w:w="35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val="fr-FR" w:eastAsia="fr-CM"/>
              </w:rPr>
              <w:t>TOTAL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49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189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238</w:t>
            </w:r>
          </w:p>
        </w:tc>
      </w:tr>
      <w:tr>
        <w:tblPrEx/>
        <w:trPr>
          <w:trHeight w:val="300" w:hRule="atLeast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25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fr-CM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fr-CM"/>
              </w:rPr>
            </w:pPr>
            <w:r>
              <w:rPr>
                <w:noProof/>
                <w:lang w:val="fr-FR"/>
              </w:rPr>
            </w:r>
            <w:r>
              <w:rPr>
                <w:noProof/>
                <w:lang w:val="fr-FR"/>
              </w:rPr>
            </w:r>
            <w:r>
              <w:rPr>
                <w:noProof/>
                <w:lang w:val="fr-FR"/>
              </w:rPr>
            </w:r>
            <w:r>
              <w:rPr>
                <w:noProof/>
                <w:lang w:val="fr-FR"/>
              </w:rPr>
              <w:drawing>
                <wp:inline distL="114300" distT="0" distB="0" distR="114300">
                  <wp:extent cx="3248025" cy="1808329"/>
                  <wp:effectExtent l="0" t="0" r="0" b="0"/>
                  <wp:docPr id="1036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  <w:r>
              <w:rPr>
                <w:noProof/>
                <w:lang w:val="fr-FR"/>
              </w:rPr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fr-CM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fr-CM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fr-CM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fr-CM"/>
              </w:rPr>
            </w:pPr>
          </w:p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fr-CM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  <w:lang w:eastAsia="fr-CM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  <w:lang w:eastAsia="fr-CM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  <w:lang w:eastAsia="fr-CM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  <w:lang w:eastAsia="fr-CM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  <w:lang w:eastAsia="fr-CM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  <w:lang w:eastAsia="fr-CM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  <w:lang w:eastAsia="fr-CM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  <w:lang w:eastAsia="fr-CM"/>
              </w:rPr>
            </w:pPr>
          </w:p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  <w:lang w:eastAsia="fr-CM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sz w:val="20"/>
                <w:szCs w:val="20"/>
                <w:lang w:eastAsia="fr-CM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fr-CM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lang w:eastAsia="fr-CM"/>
              </w:rPr>
            </w:pPr>
          </w:p>
        </w:tc>
      </w:tr>
    </w:tbl>
    <w:p>
      <w:pPr>
        <w:pStyle w:val="style0"/>
        <w:spacing w:after="0" w:lineRule="auto" w:line="240"/>
        <w:jc w:val="both"/>
        <w:rPr>
          <w:rFonts w:ascii="Verdana" w:hAnsi="Verdana"/>
          <w:sz w:val="24"/>
          <w:szCs w:val="24"/>
          <w:highlight w:val="yellow"/>
        </w:rPr>
      </w:pPr>
    </w:p>
    <w:p>
      <w:pPr>
        <w:pStyle w:val="style0"/>
        <w:spacing w:after="0" w:lineRule="auto" w:line="240"/>
        <w:jc w:val="both"/>
        <w:rPr>
          <w:rFonts w:ascii="Verdana" w:hAnsi="Verdana"/>
          <w:b/>
          <w:bCs/>
          <w:color w:val="ff0000"/>
          <w:sz w:val="24"/>
          <w:szCs w:val="24"/>
        </w:rPr>
      </w:pPr>
    </w:p>
    <w:p>
      <w:pPr>
        <w:pStyle w:val="style0"/>
        <w:spacing w:after="0" w:lineRule="auto" w:line="240"/>
        <w:jc w:val="both"/>
        <w:rPr>
          <w:rFonts w:ascii="Verdana" w:hAnsi="Verdana"/>
          <w:b/>
          <w:bCs/>
          <w:color w:val="ff0000"/>
          <w:sz w:val="24"/>
          <w:szCs w:val="24"/>
        </w:rPr>
      </w:pPr>
    </w:p>
    <w:p>
      <w:pPr>
        <w:pStyle w:val="style0"/>
        <w:spacing w:after="0" w:lineRule="auto" w:line="240"/>
        <w:jc w:val="both"/>
        <w:rPr>
          <w:rFonts w:ascii="Verdana" w:hAnsi="Verdana"/>
          <w:b/>
          <w:bCs/>
          <w:color w:val="ff0000"/>
          <w:sz w:val="24"/>
          <w:szCs w:val="24"/>
        </w:rPr>
      </w:pPr>
    </w:p>
    <w:p>
      <w:pPr>
        <w:pStyle w:val="style0"/>
        <w:spacing w:after="0" w:lineRule="auto" w:line="240"/>
        <w:jc w:val="both"/>
        <w:rPr>
          <w:rFonts w:ascii="Verdana" w:hAnsi="Verdana"/>
          <w:b/>
          <w:bCs/>
          <w:color w:val="ff0000"/>
          <w:sz w:val="24"/>
          <w:szCs w:val="24"/>
        </w:rPr>
      </w:pPr>
    </w:p>
    <w:p>
      <w:pPr>
        <w:pStyle w:val="style0"/>
        <w:spacing w:after="0" w:lineRule="auto" w:line="240"/>
        <w:jc w:val="both"/>
        <w:rPr>
          <w:rFonts w:ascii="Verdana" w:hAnsi="Verdana"/>
          <w:b/>
          <w:bCs/>
          <w:color w:val="ff0000"/>
          <w:sz w:val="24"/>
          <w:szCs w:val="24"/>
        </w:rPr>
      </w:pPr>
    </w:p>
    <w:p>
      <w:pPr>
        <w:pStyle w:val="style0"/>
        <w:spacing w:after="0" w:lineRule="auto" w:line="240"/>
        <w:jc w:val="both"/>
        <w:rPr>
          <w:rFonts w:ascii="Verdana" w:hAnsi="Verdana"/>
          <w:b/>
          <w:bCs/>
          <w:color w:val="ff0000"/>
          <w:sz w:val="24"/>
          <w:szCs w:val="24"/>
        </w:rPr>
      </w:pPr>
    </w:p>
    <w:p>
      <w:pPr>
        <w:pStyle w:val="style0"/>
        <w:spacing w:after="0" w:lineRule="auto" w:line="240"/>
        <w:jc w:val="both"/>
        <w:rPr>
          <w:rFonts w:ascii="Verdana" w:hAnsi="Verdana"/>
          <w:b/>
          <w:bCs/>
          <w:color w:val="ff0000"/>
          <w:sz w:val="24"/>
          <w:szCs w:val="24"/>
        </w:rPr>
      </w:pPr>
    </w:p>
    <w:p>
      <w:pPr>
        <w:pStyle w:val="style0"/>
        <w:spacing w:after="0" w:lineRule="auto" w:line="240"/>
        <w:jc w:val="both"/>
        <w:rPr>
          <w:rFonts w:ascii="Verdana" w:hAnsi="Verdana"/>
          <w:b/>
          <w:bCs/>
          <w:color w:val="ff0000"/>
          <w:sz w:val="24"/>
          <w:szCs w:val="24"/>
        </w:rPr>
      </w:pPr>
    </w:p>
    <w:p>
      <w:pPr>
        <w:pStyle w:val="style0"/>
        <w:spacing w:after="0" w:lineRule="auto" w:line="240"/>
        <w:jc w:val="both"/>
        <w:rPr>
          <w:rFonts w:ascii="Verdana" w:hAnsi="Verdana"/>
          <w:b/>
          <w:bCs/>
          <w:color w:val="ff0000"/>
          <w:sz w:val="24"/>
          <w:szCs w:val="24"/>
        </w:rPr>
      </w:pPr>
    </w:p>
    <w:p>
      <w:pPr>
        <w:pStyle w:val="style0"/>
        <w:spacing w:after="0" w:lineRule="auto" w:line="240"/>
        <w:jc w:val="both"/>
        <w:rPr>
          <w:rFonts w:ascii="Verdana" w:hAnsi="Verdana"/>
          <w:b/>
          <w:bCs/>
          <w:color w:val="ff0000"/>
          <w:sz w:val="24"/>
          <w:szCs w:val="24"/>
        </w:rPr>
      </w:pPr>
    </w:p>
    <w:p>
      <w:pPr>
        <w:pStyle w:val="style0"/>
        <w:spacing w:after="0" w:lineRule="auto" w:line="240"/>
        <w:jc w:val="both"/>
        <w:rPr>
          <w:rFonts w:ascii="Verdana" w:hAnsi="Verdana"/>
          <w:b/>
          <w:bCs/>
          <w:color w:val="ff0000"/>
          <w:sz w:val="24"/>
          <w:szCs w:val="24"/>
        </w:rPr>
      </w:pPr>
    </w:p>
    <w:p>
      <w:pPr>
        <w:pStyle w:val="style0"/>
        <w:spacing w:after="0" w:lineRule="auto" w:line="240"/>
        <w:jc w:val="both"/>
        <w:rPr>
          <w:rFonts w:ascii="Verdana" w:hAnsi="Verdana"/>
          <w:b/>
          <w:bCs/>
          <w:color w:val="ff0000"/>
          <w:sz w:val="24"/>
          <w:szCs w:val="24"/>
        </w:rPr>
      </w:pPr>
    </w:p>
    <w:p>
      <w:pPr>
        <w:pStyle w:val="style0"/>
        <w:spacing w:after="0" w:lineRule="auto" w:line="240"/>
        <w:jc w:val="both"/>
        <w:rPr>
          <w:rFonts w:ascii="Verdana" w:hAnsi="Verdana"/>
          <w:b/>
          <w:bCs/>
          <w:color w:val="ff0000"/>
          <w:sz w:val="24"/>
          <w:szCs w:val="24"/>
        </w:rPr>
      </w:pPr>
    </w:p>
    <w:bookmarkStart w:id="23" w:name="_Toc225355687"/>
    <w:p>
      <w:pPr>
        <w:pStyle w:val="style2"/>
        <w:rPr>
          <w:color w:val="00b050"/>
        </w:rPr>
      </w:pPr>
      <w:r>
        <w:rPr>
          <w:color w:val="00b050"/>
        </w:rPr>
        <w:t>Les infrastructures</w:t>
      </w:r>
      <w:bookmarkEnd w:id="23"/>
    </w:p>
    <w:p>
      <w:pPr>
        <w:pStyle w:val="style0"/>
        <w:spacing w:after="0" w:lineRule="auto" w:line="240"/>
        <w:jc w:val="both"/>
        <w:rPr>
          <w:rFonts w:ascii="Verdana" w:cs="Arial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L’ensemble du bâtiment est composé de plusieurs ailes à différentes utilisations et spécialités.</w:t>
      </w:r>
      <w:r>
        <w:rPr>
          <w:rFonts w:ascii="Verdana" w:cs="Arial" w:hAnsi="Verdana"/>
          <w:sz w:val="24"/>
          <w:szCs w:val="24"/>
        </w:rPr>
        <w:t xml:space="preserve"> Pour </w:t>
      </w:r>
      <w:r>
        <w:rPr>
          <w:rFonts w:ascii="Verdana" w:cs="Arial" w:hAnsi="Verdana"/>
          <w:sz w:val="24"/>
          <w:szCs w:val="24"/>
        </w:rPr>
        <w:t>un meilleur</w:t>
      </w:r>
      <w:r>
        <w:rPr>
          <w:rFonts w:ascii="Verdana" w:cs="Arial" w:hAnsi="Verdana"/>
          <w:sz w:val="24"/>
          <w:szCs w:val="24"/>
        </w:rPr>
        <w:t xml:space="preserve"> repérage, nous avons convenu de scinder l’établissement en 2 zones et 14 blocs tels que présentés dans le tableau ci-dessous :</w:t>
      </w:r>
      <w:r>
        <w:rPr>
          <w:rFonts w:ascii="Verdana" w:cs="Arial" w:hAnsi="Verdana"/>
          <w:sz w:val="24"/>
          <w:szCs w:val="24"/>
        </w:rPr>
        <w:t xml:space="preserve"> </w:t>
      </w:r>
    </w:p>
    <w:p>
      <w:pPr>
        <w:pStyle w:val="style0"/>
        <w:spacing w:after="0" w:lineRule="auto" w:line="240"/>
        <w:jc w:val="both"/>
        <w:rPr>
          <w:rFonts w:ascii="Verdana" w:cs="Arial" w:hAnsi="Verdana"/>
          <w:sz w:val="24"/>
          <w:szCs w:val="24"/>
        </w:rPr>
      </w:pPr>
    </w:p>
    <w:p>
      <w:pPr>
        <w:pStyle w:val="style0"/>
        <w:spacing w:after="0" w:lineRule="auto" w:line="240"/>
        <w:jc w:val="both"/>
        <w:rPr>
          <w:rFonts w:ascii="Verdana" w:cs="Arial" w:hAnsi="Verdana"/>
        </w:rPr>
      </w:pPr>
      <w:r>
        <w:rPr>
          <w:rFonts w:ascii="Verdana" w:cs="Arial" w:hAnsi="Verdana"/>
        </w:rPr>
        <w:t>Tableau 2 : présentation du CHRM par zones et par blocs</w:t>
      </w:r>
    </w:p>
    <w:tbl>
      <w:tblPr>
        <w:tblW w:w="0" w:type="auto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7"/>
        <w:gridCol w:w="937"/>
        <w:gridCol w:w="3744"/>
        <w:gridCol w:w="3638"/>
      </w:tblGrid>
      <w:tr>
        <w:trPr>
          <w:trHeight w:val="109" w:hRule="atLeast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a58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val="fr-FR"/>
              </w:rPr>
              <w:t>NOMENCLATURE</w:t>
            </w:r>
          </w:p>
        </w:tc>
      </w:tr>
      <w:tr>
        <w:tblPrEx/>
        <w:trPr>
          <w:trHeight w:val="36" w:hRule="atLeast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ZONE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BLOC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SERVICE</w:t>
            </w:r>
          </w:p>
        </w:tc>
      </w:tr>
      <w:tr>
        <w:tblPrEx/>
        <w:trPr>
          <w:trHeight w:val="36" w:hRule="atLeast"/>
        </w:trPr>
        <w:tc>
          <w:tcPr>
            <w:tcW w:w="0" w:type="auto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RDC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ETAGE</w:t>
            </w:r>
          </w:p>
        </w:tc>
      </w:tr>
      <w:tr>
        <w:tblPrEx/>
        <w:trPr>
          <w:trHeight w:val="65" w:hRule="atLeast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9d9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9d9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BLOC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9d9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ACCUEIL ET ADMISSIONS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9d9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ADMINISTRATION</w:t>
            </w:r>
          </w:p>
        </w:tc>
      </w:tr>
      <w:tr>
        <w:tblPrEx/>
        <w:trPr>
          <w:trHeight w:val="281" w:hRule="atLeast"/>
        </w:trPr>
        <w:tc>
          <w:tcPr>
            <w:tcW w:w="0" w:type="auto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9d9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BLOC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9d9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PRELEVEMENTS ET BANQUE DE SANG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9d9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CONSULTATIONS ET EXPLORATIONS</w:t>
            </w:r>
          </w:p>
        </w:tc>
      </w:tr>
      <w:tr>
        <w:tblPrEx/>
        <w:trPr>
          <w:trHeight w:val="36" w:hRule="atLeast"/>
        </w:trPr>
        <w:tc>
          <w:tcPr>
            <w:tcW w:w="0" w:type="auto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9d9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BLOC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9d9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CONSULTATIONS ET EXPLORATIONS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9d9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CONSULTATIONS ET EXPLORATIONS</w:t>
            </w:r>
          </w:p>
        </w:tc>
      </w:tr>
      <w:tr>
        <w:tblPrEx/>
        <w:trPr>
          <w:trHeight w:val="36" w:hRule="atLeast"/>
        </w:trPr>
        <w:tc>
          <w:tcPr>
            <w:tcW w:w="0" w:type="auto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9d9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BLOC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9d9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HALL D'ATTENTE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9d9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HALL D'ATTENTE</w:t>
            </w:r>
          </w:p>
        </w:tc>
      </w:tr>
      <w:tr>
        <w:tblPrEx/>
        <w:trPr>
          <w:trHeight w:val="36" w:hRule="atLeast"/>
        </w:trPr>
        <w:tc>
          <w:tcPr>
            <w:tcW w:w="0" w:type="auto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9d9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BLOC 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9d9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HOSPITALISATION MEDECINE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9d9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HOSPITALISATION PEDIATRIQUE</w:t>
            </w:r>
          </w:p>
        </w:tc>
      </w:tr>
      <w:tr>
        <w:tblPrEx/>
        <w:trPr>
          <w:trHeight w:val="36" w:hRule="atLeast"/>
        </w:trPr>
        <w:tc>
          <w:tcPr>
            <w:tcW w:w="0" w:type="auto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9d9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BLOC 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9d9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HOSPITALISATION MATERNITE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9d9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HOSPITALISATION CHIRUGICALE</w:t>
            </w:r>
          </w:p>
        </w:tc>
      </w:tr>
      <w:tr>
        <w:tblPrEx/>
        <w:trPr>
          <w:trHeight w:val="36" w:hRule="atLeast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df3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df3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BLOC 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df3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RAMPE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df3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RAMPE</w:t>
            </w:r>
          </w:p>
        </w:tc>
      </w:tr>
      <w:tr>
        <w:tblPrEx/>
        <w:trPr>
          <w:trHeight w:val="36" w:hRule="atLeast"/>
        </w:trPr>
        <w:tc>
          <w:tcPr>
            <w:tcW w:w="0" w:type="auto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df3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BLOC 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df3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TOILETTES PUBLIQUES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df3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TOILETTES PUBLIQUES</w:t>
            </w:r>
          </w:p>
        </w:tc>
      </w:tr>
      <w:tr>
        <w:tblPrEx/>
        <w:trPr>
          <w:trHeight w:val="36" w:hRule="atLeast"/>
        </w:trPr>
        <w:tc>
          <w:tcPr>
            <w:tcW w:w="0" w:type="auto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df3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BLOC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df3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LOCAL TECHNIQUE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df3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FORMATION ET ARCHIVES</w:t>
            </w:r>
          </w:p>
        </w:tc>
      </w:tr>
      <w:tr>
        <w:tblPrEx/>
        <w:trPr>
          <w:trHeight w:val="36" w:hRule="atLeast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df3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df3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BLOC 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df3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OBSTETRIQUE-NEONATALOGIE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N.A</w:t>
            </w:r>
          </w:p>
        </w:tc>
      </w:tr>
      <w:tr>
        <w:tblPrEx/>
        <w:trPr>
          <w:trHeight w:val="36" w:hRule="atLeast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df3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df3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BLOC 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df3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URGENCES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df3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BLOC OPERATOIRE</w:t>
            </w:r>
          </w:p>
        </w:tc>
      </w:tr>
      <w:tr>
        <w:tblPrEx/>
        <w:trPr>
          <w:trHeight w:val="310" w:hRule="atLeast"/>
        </w:trPr>
        <w:tc>
          <w:tcPr>
            <w:tcW w:w="0" w:type="auto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df3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BLOC 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df3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IMAGERIE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df3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UNITES SOINS INTENSIFS</w:t>
            </w:r>
          </w:p>
        </w:tc>
      </w:tr>
      <w:tr>
        <w:tblPrEx/>
        <w:trPr>
          <w:trHeight w:val="36" w:hRule="atLeast"/>
        </w:trPr>
        <w:tc>
          <w:tcPr>
            <w:tcW w:w="0" w:type="auto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df3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BLOC 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df3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PHARMACIE ET VESTIAIRES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df3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LABORATOIRE ET STERILISATION</w:t>
            </w:r>
          </w:p>
        </w:tc>
      </w:tr>
      <w:tr>
        <w:tblPrEx/>
        <w:trPr>
          <w:trHeight w:val="310" w:hRule="atLeast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df3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df3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BLOC 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df3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CUISINE ET BUANDERIE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val="fr-FR"/>
              </w:rPr>
              <w:t>N.A</w:t>
            </w:r>
          </w:p>
        </w:tc>
      </w:tr>
    </w:tbl>
    <w:p>
      <w:pPr>
        <w:pStyle w:val="style0"/>
        <w:jc w:val="both"/>
        <w:rPr>
          <w:rFonts w:ascii="Verdana" w:cs="Arial" w:hAnsi="Verdana"/>
          <w:b/>
          <w:bCs/>
          <w:highlight w:val="yellow"/>
        </w:rPr>
      </w:pPr>
    </w:p>
    <w:p>
      <w:pPr>
        <w:pStyle w:val="style2"/>
        <w:rPr>
          <w:color w:val="00b050"/>
        </w:rPr>
      </w:pPr>
      <w:r>
        <w:rPr>
          <w:color w:val="00b050"/>
        </w:rPr>
        <w:tab/>
      </w:r>
      <w:bookmarkStart w:id="24" w:name="_Toc225355688"/>
      <w:r>
        <w:rPr>
          <w:color w:val="00b050"/>
        </w:rPr>
        <w:t xml:space="preserve">Les </w:t>
      </w:r>
      <w:r>
        <w:rPr>
          <w:color w:val="00b050"/>
        </w:rPr>
        <w:t xml:space="preserve">Principaux </w:t>
      </w:r>
      <w:r>
        <w:rPr>
          <w:color w:val="00b050"/>
        </w:rPr>
        <w:t>équipements</w:t>
      </w:r>
      <w:bookmarkEnd w:id="24"/>
    </w:p>
    <w:p>
      <w:pPr>
        <w:pStyle w:val="style0"/>
        <w:spacing w:after="0"/>
        <w:rPr>
          <w:rFonts w:ascii="Verdana" w:cs="Arial" w:hAnsi="Verdana"/>
          <w:b/>
          <w:bCs/>
          <w:sz w:val="28"/>
          <w:szCs w:val="28"/>
          <w:u w:val="single"/>
        </w:rPr>
      </w:pPr>
      <w:r>
        <w:rPr>
          <w:rFonts w:ascii="Verdana" w:cs="Arial" w:hAnsi="Verdana"/>
        </w:rPr>
        <w:t xml:space="preserve">Tableau </w:t>
      </w:r>
      <w:r>
        <w:rPr>
          <w:rFonts w:ascii="Verdana" w:cs="Arial" w:hAnsi="Verdana"/>
        </w:rPr>
        <w:t>3</w:t>
      </w:r>
      <w:r>
        <w:rPr>
          <w:rFonts w:ascii="Verdana" w:cs="Arial" w:hAnsi="Verdana"/>
        </w:rPr>
        <w:t> :</w:t>
      </w:r>
      <w:r>
        <w:rPr>
          <w:rFonts w:ascii="Verdana" w:cs="Arial" w:hAnsi="Verdana"/>
        </w:rPr>
        <w:t xml:space="preserve"> principaux équipements techniques disponibles au CHRM</w:t>
      </w:r>
    </w:p>
    <w:tbl>
      <w:tblPr>
        <w:tblW w:w="8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0"/>
        <w:gridCol w:w="1980"/>
      </w:tblGrid>
      <w:tr>
        <w:trPr>
          <w:trHeight w:val="315" w:hRule="atLeast"/>
        </w:trPr>
        <w:tc>
          <w:tcPr>
            <w:tcW w:w="6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4"/>
                <w:szCs w:val="24"/>
                <w:lang w:val="fr-FR" w:eastAsia="fr-CM"/>
              </w:rPr>
              <w:t xml:space="preserve">DESIGNATION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4"/>
                <w:szCs w:val="24"/>
                <w:lang w:val="fr-FR" w:eastAsia="fr-CM"/>
              </w:rPr>
              <w:t>QUANTITE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ANALYSEUR BIOCHIMIQUE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ANALYSEUR DE MICROBIOLOGIE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427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ANALYSEUR D'HÉMATOLOGIE AUTOMATISÉ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53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ANALYSEUR D'HÉMATOLOGIE ET HÉMATOCRITE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ANALYSEUR D'URINES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ANGIOGRAPHIE POUR OPHTALMOLOGIE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APPAREIL A ONDE DE CHOC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 xml:space="preserve">APPAREIL D’ÉLECTROPHORÈSE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102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APPAREIL D'ANGIOGRAPHIE AVEC 2 MONITEURS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 xml:space="preserve">APPAREIL DE GAZ DE SANG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APPAREIL DE GROUPAGE SANGUIN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APPAREIL DE RADIOLOGIE MOBILE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APPAREIL DE RADIOLOGIE NUMERIQUE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ARTHROMOTEUR GENOU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ASPIRATEUR CHIRURGICAL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20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AUDIOMÈTRE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AUTOCLAVE À VAPEUR, 250 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BALANCE ELECTRONIAUE AVEC COLONNE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27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BALANCE POUR POCHES DE SANG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2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BIOMÈTRE OPTIQUE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2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BISTOURI ELECTRIQUE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4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BRONCHOFIBROSCOPE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BROYEUR STERILISATEUR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40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CABINE DE SÉCURITÉ BIOLOGIQUE, CLASS II-A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2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CABINE POUR L'AUDIOMÉTRIE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CAMPIMÈTRE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 xml:space="preserve">CARDIOTOCOGRAPHE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9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CENTRALE DE SURVEILLANCE AVANCÉE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3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CENTRE D'INCLUSION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2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CENTRIFUGEUSE DE TABLE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7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CHAINE ELISA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COAGULÒMETRE AUTOMATIQUE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COLONNE DE LAPAROSCOPIE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COLONNE D'ENDOSCOPIE DIGESTIVE COMPLET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COLPOSCOPE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CONCENTRATERU D'OXYGENE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5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COUVEUSE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9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COUVEUSE DE TRANSPORT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13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DEFIBRILLATEUR / MONITEUR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8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ECHO-CARDIOGRAPHE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ECHOGRAPHE GENERALE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2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ECHOGRAPHE GYNECOLOGIQUE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 xml:space="preserve">ÉLECTROCARDIOGRAPHE DE 12 CANAUX AVEC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 xml:space="preserve">ÉLECTROCARDIOGRAPHE DE 6 CANAUX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4</w:t>
            </w:r>
          </w:p>
        </w:tc>
      </w:tr>
      <w:tr>
        <w:tblPrEx/>
        <w:trPr>
          <w:trHeight w:val="360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 xml:space="preserve">ÉLECTROENCÉPHALOGRAPHE CRANIOMÉTRIQUE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ELECTROMYOGRAPHE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FAUTEUIL DENTAIRE COMPLET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FLUXMÈTRE UROLOGIQUE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FRIGO SOLAIRE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GRAVEUR HOLTER ECG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8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GRAVEUR HOLTER TA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8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IMMUNOLOGIE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IMPRIMANTE SECHE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2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 xml:space="preserve">INCINERATEUR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INJECTEUR DE CONTRASTE RADIOLOGIQUE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40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 xml:space="preserve">INTERMEDATE FREQUENCY THERAPY INSTRUMENT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IONEMETRE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LAMPE À FENTE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3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LIT  ELECTRIQUE</w:t>
            </w: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 xml:space="preserve"> POUR SOINS INTENSIFS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12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LIT D'ACCOUCHEMENT CONVERTIBLE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4</w:t>
            </w:r>
          </w:p>
        </w:tc>
      </w:tr>
      <w:tr>
        <w:tblPrEx/>
        <w:trPr>
          <w:trHeight w:val="600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LIT D'HÔPITAL MECANIQUE ET COMPLET POUR LE PATIENT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87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MACHINE D'ANESTHÉSIE AVEC MONITEUR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4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MICROSCOPE A FLUORESCENCE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MICROSCOPE BINOCULAIRE DE 4 OBJECTIFS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3</w:t>
            </w:r>
          </w:p>
        </w:tc>
      </w:tr>
      <w:tr>
        <w:tblPrEx/>
        <w:trPr>
          <w:trHeight w:val="40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MICROSCOPE CHIRURGICAL OPHTALMOLOGIQUE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MICROSCOPE POUR L'EXPLORATION ORL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MICROSCOPE TRINOCULAIRE AVEC LA CAMERA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MINIVIDAS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MONITEUR MULTIPARAMÉTRIQUE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35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MOTEUR ELECTRIQUE DE TRAUMA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NUMERISEUR RADIOLOGIQUE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OPHTALMOMÈTRE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3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 xml:space="preserve">ORTHOPANTOMOGRAPH NUMERIQUE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PHACOEMULSIFICATEUR AVEC VITRECTOMIE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2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PHMETER ŒSOPHAGIQUE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POMPE À PERFUSION VOLUMÉTRIQUE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13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POUSSE SERINGUE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10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RÉCHAUFFEURS DE LIQUIDE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REFRACTOMETER-KÉRATOMÈTRE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3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REFRIGÉRATEUR DE BANQUE DE SANG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2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RESPIRATEUR PORTABLE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RESPIRATEUR VOLUMETRIQUE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12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SCANNER 16 COUPES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SPECTROPHOTOMETRE 330 À 900 NM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STIMULATEUR CARDIAQUE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2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TABLE D’OPERATION ELECTRIQUE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3</w:t>
            </w:r>
          </w:p>
        </w:tc>
      </w:tr>
      <w:tr>
        <w:tblPrEx/>
        <w:trPr>
          <w:trHeight w:val="600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TABLE TELECOMMANDE/APPAREIL DE FLUOROSCOPIE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THERAPIE LASER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UNITÉ D'EXAMEN OPHTALMOLOGIQUE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3</w:t>
            </w:r>
          </w:p>
        </w:tc>
      </w:tr>
      <w:tr>
        <w:tblPrEx/>
        <w:trPr>
          <w:trHeight w:val="315" w:hRule="atLeast"/>
        </w:trPr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UNITÉ D'EXAMEN ORL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val="fr-FR" w:eastAsia="fr-CM"/>
              </w:rPr>
              <w:t>1</w:t>
            </w:r>
          </w:p>
        </w:tc>
      </w:tr>
    </w:tbl>
    <w:p>
      <w:pPr>
        <w:pStyle w:val="style0"/>
        <w:spacing w:after="0" w:lineRule="auto" w:line="240"/>
        <w:rPr>
          <w:highlight w:val="yellow"/>
        </w:rPr>
      </w:pPr>
    </w:p>
    <w:p>
      <w:pPr>
        <w:pStyle w:val="style0"/>
        <w:spacing w:after="0" w:lineRule="auto" w:line="240"/>
        <w:rPr>
          <w:highlight w:val="yellow"/>
        </w:rPr>
      </w:pPr>
    </w:p>
    <w:p>
      <w:pPr>
        <w:pStyle w:val="style0"/>
        <w:spacing w:after="0" w:lineRule="auto" w:line="240"/>
        <w:rPr>
          <w:highlight w:val="yellow"/>
        </w:rPr>
      </w:pPr>
    </w:p>
    <w:p>
      <w:pPr>
        <w:pStyle w:val="style0"/>
        <w:spacing w:after="0" w:lineRule="auto" w:line="240"/>
        <w:rPr>
          <w:highlight w:val="yellow"/>
        </w:rPr>
      </w:pPr>
    </w:p>
    <w:p>
      <w:pPr>
        <w:pStyle w:val="style0"/>
        <w:spacing w:after="0" w:lineRule="auto" w:line="240"/>
        <w:rPr>
          <w:highlight w:val="yellow"/>
        </w:rPr>
      </w:pPr>
    </w:p>
    <w:p>
      <w:pPr>
        <w:pStyle w:val="style0"/>
        <w:spacing w:after="0" w:lineRule="auto" w:line="240"/>
        <w:rPr>
          <w:highlight w:val="yellow"/>
        </w:rPr>
      </w:pPr>
    </w:p>
    <w:p>
      <w:pPr>
        <w:pStyle w:val="style0"/>
        <w:spacing w:after="0" w:lineRule="auto" w:line="240"/>
        <w:rPr>
          <w:highlight w:val="yellow"/>
        </w:rPr>
      </w:pPr>
    </w:p>
    <w:p>
      <w:pPr>
        <w:pStyle w:val="style0"/>
        <w:spacing w:after="0" w:lineRule="auto" w:line="240"/>
        <w:rPr>
          <w:highlight w:val="yellow"/>
        </w:rPr>
      </w:pPr>
    </w:p>
    <w:p>
      <w:pPr>
        <w:pStyle w:val="style0"/>
        <w:spacing w:after="0" w:lineRule="auto" w:line="240"/>
        <w:rPr>
          <w:highlight w:val="yellow"/>
        </w:rPr>
      </w:pPr>
    </w:p>
    <w:p>
      <w:pPr>
        <w:pStyle w:val="style0"/>
        <w:spacing w:after="0" w:lineRule="auto" w:line="240"/>
        <w:rPr>
          <w:highlight w:val="yellow"/>
        </w:rPr>
      </w:pPr>
    </w:p>
    <w:p>
      <w:pPr>
        <w:pStyle w:val="style0"/>
        <w:spacing w:after="0" w:lineRule="auto" w:line="240"/>
        <w:rPr>
          <w:highlight w:val="yellow"/>
        </w:rPr>
      </w:pPr>
    </w:p>
    <w:p>
      <w:pPr>
        <w:pStyle w:val="style2"/>
        <w:rPr>
          <w:color w:val="00b050"/>
        </w:rPr>
      </w:pPr>
      <w:r>
        <w:rPr/>
        <w:fldChar w:fldCharType="begin"/>
      </w:r>
      <w:r>
        <w:instrText xml:space="preserve"> HYPERLINK \l "_Toc401066454" </w:instrText>
      </w:r>
      <w:r>
        <w:rPr/>
        <w:fldChar w:fldCharType="separate"/>
      </w:r>
      <w:bookmarkStart w:id="25" w:name="_Toc225355689"/>
      <w:r>
        <w:rPr>
          <w:rStyle w:val="style85"/>
          <w:color w:val="00b050"/>
        </w:rPr>
        <w:t>Capacité en lits </w:t>
      </w:r>
      <w:r>
        <w:rPr/>
        <w:fldChar w:fldCharType="end"/>
      </w:r>
      <w:r>
        <w:rPr>
          <w:color w:val="00b050"/>
        </w:rPr>
        <w:t>par service</w:t>
      </w:r>
      <w:bookmarkEnd w:id="25"/>
    </w:p>
    <w:p>
      <w:pPr>
        <w:pStyle w:val="style0"/>
        <w:spacing w:after="0"/>
        <w:rPr>
          <w:lang w:val="fr-FR"/>
        </w:rPr>
      </w:pPr>
      <w:r>
        <w:rPr>
          <w:rFonts w:ascii="Verdana" w:cs="Arial" w:hAnsi="Verdana"/>
        </w:rPr>
        <w:t xml:space="preserve">Tableau </w:t>
      </w:r>
      <w:r>
        <w:rPr>
          <w:rFonts w:ascii="Verdana" w:cs="Arial" w:hAnsi="Verdana"/>
        </w:rPr>
        <w:t>4</w:t>
      </w:r>
      <w:r>
        <w:rPr>
          <w:rFonts w:ascii="Verdana" w:cs="Arial" w:hAnsi="Verdana"/>
        </w:rPr>
        <w:t> :</w:t>
      </w:r>
      <w:r>
        <w:rPr>
          <w:rFonts w:ascii="Verdana" w:cs="Arial" w:hAnsi="Verdana"/>
        </w:rPr>
        <w:t xml:space="preserve"> distribution des lits et places au CHRM en 2025</w:t>
      </w:r>
    </w:p>
    <w:tbl>
      <w:tblPr>
        <w:tblpPr w:leftFromText="141" w:rightFromText="141" w:topFromText="0" w:bottomFromText="0" w:vertAnchor="text" w:tblpXSpec="left" w:tblpY="1"/>
        <w:tblOverlap w:val="nev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"/>
        <w:gridCol w:w="3506"/>
        <w:gridCol w:w="1847"/>
      </w:tblGrid>
      <w:tr>
        <w:trPr>
          <w:trHeight w:val="345" w:hRule="atLeas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lang w:val="fr-FR" w:eastAsia="fr-CM"/>
              </w:rPr>
              <w:t>N°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lang w:val="fr-FR" w:eastAsia="fr-CM"/>
              </w:rPr>
              <w:t xml:space="preserve">ETAT DES LITS / PLACES </w:t>
            </w:r>
          </w:p>
        </w:tc>
      </w:tr>
      <w:tr>
        <w:tblPrEx/>
        <w:trPr>
          <w:trHeight w:val="300" w:hRule="atLeast"/>
        </w:trPr>
        <w:tc>
          <w:tcPr>
            <w:tcW w:w="0" w:type="auto"/>
            <w:vMerge w:val="continue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ffffff"/>
                <w:lang w:eastAsia="fr-C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lang w:val="fr-FR" w:eastAsia="fr-CM"/>
              </w:rPr>
              <w:t>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lang w:val="fr-FR" w:eastAsia="fr-CM"/>
              </w:rPr>
              <w:t>NBRE LIT/PLACE</w:t>
            </w:r>
          </w:p>
        </w:tc>
      </w:tr>
      <w:tr>
        <w:tblPrEx/>
        <w:trPr>
          <w:trHeight w:val="220" w:hRule="atLeast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lang w:val="fr-FR" w:eastAsia="fr-CM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lang w:val="fr-FR" w:eastAsia="fr-CM"/>
              </w:rPr>
              <w:t>Urgences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lang w:val="fr-FR" w:eastAsia="fr-CM"/>
              </w:rPr>
              <w:t>10</w:t>
            </w:r>
          </w:p>
        </w:tc>
      </w:tr>
      <w:tr>
        <w:tblPrEx/>
        <w:trPr>
          <w:trHeight w:val="225" w:hRule="atLeast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lang w:val="fr-FR" w:eastAsia="fr-CM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lang w:val="fr-FR" w:eastAsia="fr-CM"/>
              </w:rPr>
              <w:t>Néonatalogie/Salle accouchement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lang w:val="fr-FR" w:eastAsia="fr-CM"/>
              </w:rPr>
              <w:t>34</w:t>
            </w:r>
          </w:p>
        </w:tc>
      </w:tr>
      <w:tr>
        <w:tblPrEx/>
        <w:trPr>
          <w:trHeight w:val="86" w:hRule="atLeast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lang w:val="fr-FR" w:eastAsia="fr-CM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lang w:val="fr-FR" w:eastAsia="fr-CM"/>
              </w:rPr>
              <w:t>Réanimation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lang w:val="fr-FR" w:eastAsia="fr-CM"/>
              </w:rPr>
              <w:t>12</w:t>
            </w:r>
          </w:p>
        </w:tc>
      </w:tr>
      <w:tr>
        <w:tblPrEx/>
        <w:trPr>
          <w:trHeight w:val="91" w:hRule="atLeast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lang w:val="fr-FR" w:eastAsia="fr-CM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lang w:val="fr-FR" w:eastAsia="fr-CM"/>
              </w:rPr>
              <w:t>Pédiatrie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lang w:val="fr-FR" w:eastAsia="fr-CM"/>
              </w:rPr>
              <w:t>10</w:t>
            </w:r>
          </w:p>
        </w:tc>
      </w:tr>
      <w:tr>
        <w:tblPrEx/>
        <w:trPr>
          <w:trHeight w:val="300" w:hRule="atLeast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lang w:val="fr-FR" w:eastAsia="fr-CM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lang w:val="fr-FR" w:eastAsia="fr-CM"/>
              </w:rPr>
              <w:t>Chirurgie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lang w:val="fr-FR" w:eastAsia="fr-CM"/>
              </w:rPr>
              <w:t>30</w:t>
            </w:r>
          </w:p>
        </w:tc>
      </w:tr>
      <w:tr>
        <w:tblPrEx/>
        <w:trPr>
          <w:trHeight w:val="48" w:hRule="atLeast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lang w:val="fr-FR" w:eastAsia="fr-CM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lang w:val="fr-FR" w:eastAsia="fr-CM"/>
              </w:rPr>
              <w:t>Médecine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lang w:val="fr-FR" w:eastAsia="fr-CM"/>
              </w:rPr>
              <w:t>16</w:t>
            </w:r>
          </w:p>
        </w:tc>
      </w:tr>
      <w:tr>
        <w:tblPrEx/>
        <w:trPr>
          <w:trHeight w:val="300" w:hRule="atLeast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lang w:val="fr-FR" w:eastAsia="fr-CM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lang w:val="fr-FR" w:eastAsia="fr-CM"/>
              </w:rPr>
              <w:t xml:space="preserve">Gynéco-obstétrique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lang w:val="fr-FR" w:eastAsia="fr-CM"/>
              </w:rPr>
              <w:t>20</w:t>
            </w:r>
          </w:p>
        </w:tc>
      </w:tr>
      <w:tr>
        <w:tblPrEx/>
        <w:trPr>
          <w:trHeight w:val="300" w:hRule="atLeast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lang w:val="fr-FR" w:eastAsia="fr-CM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lang w:val="fr-FR" w:eastAsia="fr-CM"/>
              </w:rPr>
              <w:t>132</w:t>
            </w:r>
          </w:p>
        </w:tc>
      </w:tr>
    </w:tbl>
    <w:p>
      <w:pPr>
        <w:pStyle w:val="style0"/>
        <w:jc w:val="both"/>
        <w:rPr>
          <w:rFonts w:ascii="Verdana" w:cs="Arial" w:hAnsi="Verdana"/>
        </w:rPr>
      </w:pPr>
    </w:p>
    <w:bookmarkStart w:id="26" w:name="_Hlk224480271"/>
    <w:p>
      <w:pPr>
        <w:pStyle w:val="style0"/>
        <w:jc w:val="both"/>
        <w:rPr>
          <w:rFonts w:ascii="Verdana" w:hAnsi="Verdana"/>
          <w:b/>
          <w:bCs/>
          <w:sz w:val="28"/>
          <w:szCs w:val="28"/>
        </w:rPr>
      </w:pPr>
    </w:p>
    <w:p>
      <w:pPr>
        <w:pStyle w:val="style0"/>
        <w:jc w:val="both"/>
        <w:rPr>
          <w:rFonts w:ascii="Verdana" w:hAnsi="Verdana"/>
          <w:b/>
          <w:bCs/>
          <w:sz w:val="28"/>
          <w:szCs w:val="28"/>
        </w:rPr>
      </w:pPr>
    </w:p>
    <w:p>
      <w:pPr>
        <w:pStyle w:val="style0"/>
        <w:jc w:val="both"/>
        <w:rPr>
          <w:rFonts w:ascii="Verdana" w:hAnsi="Verdana"/>
          <w:b/>
          <w:bCs/>
          <w:sz w:val="28"/>
          <w:szCs w:val="28"/>
        </w:rPr>
      </w:pPr>
    </w:p>
    <w:p>
      <w:pPr>
        <w:pStyle w:val="style0"/>
        <w:jc w:val="both"/>
        <w:rPr>
          <w:rFonts w:ascii="Verdana" w:hAnsi="Verdana"/>
          <w:b/>
          <w:bCs/>
          <w:sz w:val="28"/>
          <w:szCs w:val="28"/>
        </w:rPr>
      </w:pPr>
    </w:p>
    <w:p>
      <w:pPr>
        <w:pStyle w:val="style0"/>
        <w:jc w:val="both"/>
        <w:rPr>
          <w:rFonts w:ascii="Verdana" w:hAnsi="Verdana"/>
          <w:b/>
          <w:bCs/>
          <w:sz w:val="28"/>
          <w:szCs w:val="28"/>
        </w:rPr>
      </w:pPr>
    </w:p>
    <w:bookmarkStart w:id="27" w:name="_Toc225355690"/>
    <w:bookmarkEnd w:id="26"/>
    <w:p>
      <w:pPr>
        <w:pStyle w:val="style2"/>
        <w:rPr>
          <w:color w:val="00b050"/>
        </w:rPr>
      </w:pPr>
      <w:r>
        <w:rPr>
          <w:color w:val="00b050"/>
        </w:rPr>
        <w:t>Communication</w:t>
      </w:r>
      <w:bookmarkEnd w:id="27"/>
    </w:p>
    <w:p>
      <w:pPr>
        <w:pStyle w:val="style179"/>
        <w:numPr>
          <w:ilvl w:val="0"/>
          <w:numId w:val="3"/>
        </w:numPr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Un communicateur a été recruté pour le compte du CHRM ;</w:t>
      </w:r>
    </w:p>
    <w:p>
      <w:pPr>
        <w:pStyle w:val="style179"/>
        <w:numPr>
          <w:ilvl w:val="0"/>
          <w:numId w:val="3"/>
        </w:numPr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 xml:space="preserve">Les activités de communication autour des différentes activités et grands évènements de l’hôpital ont été assez fortes </w:t>
      </w:r>
      <w:r>
        <w:rPr>
          <w:rFonts w:ascii="Verdana" w:cs="Arial" w:hAnsi="Verdana"/>
          <w:sz w:val="24"/>
          <w:szCs w:val="24"/>
        </w:rPr>
        <w:t>depuis l’ouverture le 1</w:t>
      </w:r>
      <w:r>
        <w:rPr>
          <w:rFonts w:ascii="Verdana" w:cs="Arial" w:hAnsi="Verdana"/>
          <w:sz w:val="24"/>
          <w:szCs w:val="24"/>
          <w:vertAlign w:val="superscript"/>
        </w:rPr>
        <w:t>er</w:t>
      </w:r>
      <w:r>
        <w:rPr>
          <w:rFonts w:ascii="Verdana" w:cs="Arial" w:hAnsi="Verdana"/>
          <w:sz w:val="24"/>
          <w:szCs w:val="24"/>
        </w:rPr>
        <w:t xml:space="preserve"> octobre 202</w:t>
      </w:r>
      <w:r>
        <w:rPr>
          <w:rFonts w:ascii="Verdana" w:cs="Arial" w:hAnsi="Verdana"/>
          <w:sz w:val="24"/>
          <w:szCs w:val="24"/>
        </w:rPr>
        <w:t>4</w:t>
      </w:r>
      <w:r>
        <w:rPr>
          <w:rFonts w:ascii="Verdana" w:cs="Arial" w:hAnsi="Verdana"/>
          <w:sz w:val="24"/>
          <w:szCs w:val="24"/>
        </w:rPr>
        <w:t> ;</w:t>
      </w:r>
    </w:p>
    <w:p>
      <w:pPr>
        <w:pStyle w:val="style179"/>
        <w:numPr>
          <w:ilvl w:val="0"/>
          <w:numId w:val="3"/>
        </w:numPr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Le site internet d</w:t>
      </w:r>
      <w:r>
        <w:rPr>
          <w:rFonts w:ascii="Verdana" w:cs="Arial" w:hAnsi="Verdana"/>
          <w:sz w:val="24"/>
          <w:szCs w:val="24"/>
        </w:rPr>
        <w:t>u Centre a été créé et attend d’être opérationnel ;</w:t>
      </w:r>
    </w:p>
    <w:p>
      <w:pPr>
        <w:pStyle w:val="style179"/>
        <w:numPr>
          <w:ilvl w:val="0"/>
          <w:numId w:val="3"/>
        </w:numPr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 xml:space="preserve">Les différentes instances </w:t>
      </w:r>
      <w:r>
        <w:rPr>
          <w:rFonts w:ascii="Verdana" w:cs="Arial" w:hAnsi="Verdana"/>
          <w:sz w:val="24"/>
          <w:szCs w:val="24"/>
        </w:rPr>
        <w:t>sont en cours de mise en place</w:t>
      </w:r>
      <w:r>
        <w:rPr>
          <w:rFonts w:ascii="Verdana" w:cs="Arial" w:hAnsi="Verdana"/>
          <w:sz w:val="24"/>
          <w:szCs w:val="24"/>
        </w:rPr>
        <w:t> ;</w:t>
      </w:r>
    </w:p>
    <w:p>
      <w:pPr>
        <w:pStyle w:val="style179"/>
        <w:numPr>
          <w:ilvl w:val="0"/>
          <w:numId w:val="3"/>
        </w:numPr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 xml:space="preserve">Le processus de digitalisation de l’hôpital </w:t>
      </w:r>
      <w:r>
        <w:rPr>
          <w:rFonts w:ascii="Verdana" w:cs="Arial" w:hAnsi="Verdana"/>
          <w:sz w:val="24"/>
          <w:szCs w:val="24"/>
        </w:rPr>
        <w:t>se met progressivement en place ;</w:t>
      </w:r>
    </w:p>
    <w:p>
      <w:pPr>
        <w:pStyle w:val="style179"/>
        <w:numPr>
          <w:ilvl w:val="0"/>
          <w:numId w:val="3"/>
        </w:numPr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 xml:space="preserve">La flotte téléphonique pour fluidifier la communication entre le personnel </w:t>
      </w:r>
      <w:r>
        <w:rPr>
          <w:rFonts w:ascii="Verdana" w:cs="Arial" w:hAnsi="Verdana"/>
          <w:sz w:val="24"/>
          <w:szCs w:val="24"/>
        </w:rPr>
        <w:t xml:space="preserve">a été mise </w:t>
      </w:r>
      <w:r>
        <w:rPr>
          <w:rFonts w:ascii="Verdana" w:cs="Arial" w:hAnsi="Verdana"/>
          <w:sz w:val="24"/>
          <w:szCs w:val="24"/>
        </w:rPr>
        <w:t xml:space="preserve">en </w:t>
      </w:r>
      <w:r>
        <w:rPr>
          <w:rFonts w:ascii="Verdana" w:cs="Arial" w:hAnsi="Verdana"/>
          <w:sz w:val="24"/>
          <w:szCs w:val="24"/>
        </w:rPr>
        <w:t>place.</w:t>
      </w:r>
    </w:p>
    <w:p>
      <w:pPr>
        <w:pStyle w:val="style179"/>
        <w:numPr>
          <w:ilvl w:val="0"/>
          <w:numId w:val="3"/>
        </w:numPr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Connection téléphonique interservices est effective (les téléphones fixe dans les services)</w:t>
      </w:r>
    </w:p>
    <w:bookmarkStart w:id="28" w:name="_Toc225355691"/>
    <w:p>
      <w:pPr>
        <w:pStyle w:val="style2"/>
        <w:rPr>
          <w:color w:val="00b050"/>
        </w:rPr>
      </w:pPr>
      <w:r>
        <w:rPr>
          <w:color w:val="00b050"/>
        </w:rPr>
        <w:t>Partenariat et coopération</w:t>
      </w:r>
      <w:bookmarkEnd w:id="28"/>
    </w:p>
    <w:p>
      <w:pPr>
        <w:pStyle w:val="style0"/>
        <w:jc w:val="both"/>
        <w:rPr>
          <w:rFonts w:ascii="Verdana" w:cs="Arial" w:hAnsi="Verdana"/>
        </w:rPr>
      </w:pPr>
      <w:r>
        <w:rPr>
          <w:rFonts w:ascii="Verdana" w:cs="Arial" w:hAnsi="Verdana"/>
        </w:rPr>
        <w:t xml:space="preserve">Depuis </w:t>
      </w:r>
      <w:r>
        <w:rPr>
          <w:rFonts w:ascii="Verdana" w:cs="Arial" w:hAnsi="Verdana"/>
        </w:rPr>
        <w:t>l’ouverture de</w:t>
      </w:r>
      <w:r>
        <w:rPr>
          <w:rFonts w:ascii="Verdana" w:cs="Arial" w:hAnsi="Verdana"/>
        </w:rPr>
        <w:t xml:space="preserve"> l’hôpital, nous avons collaboré avec plusieurs professionnels/structures pour son opérationnalisation effective. C’est ainsi que</w:t>
      </w:r>
      <w:r>
        <w:rPr>
          <w:rFonts w:ascii="Verdana" w:cs="Arial" w:hAnsi="Verdana"/>
        </w:rPr>
        <w:t xml:space="preserve"> dans le cadre du renforcement des capacités du personnel,</w:t>
      </w:r>
      <w:r>
        <w:rPr>
          <w:rFonts w:ascii="Verdana" w:cs="Arial" w:hAnsi="Verdana"/>
        </w:rPr>
        <w:t xml:space="preserve"> nous avons eu à accueillir des professionnels</w:t>
      </w:r>
      <w:r>
        <w:rPr>
          <w:rFonts w:ascii="Verdana" w:cs="Arial" w:hAnsi="Verdana"/>
        </w:rPr>
        <w:t xml:space="preserve"> venant respectivement de :</w:t>
      </w:r>
    </w:p>
    <w:p>
      <w:pPr>
        <w:pStyle w:val="style179"/>
        <w:numPr>
          <w:ilvl w:val="0"/>
          <w:numId w:val="16"/>
        </w:numPr>
        <w:rPr>
          <w:rFonts w:ascii="Verdana" w:cs="Arial" w:hAnsi="Verdana"/>
        </w:rPr>
      </w:pPr>
      <w:r>
        <w:rPr>
          <w:rFonts w:ascii="Verdana" w:cs="Arial" w:hAnsi="Verdana"/>
        </w:rPr>
        <w:t>CHU de Yaoundé,</w:t>
      </w:r>
    </w:p>
    <w:bookmarkStart w:id="29" w:name="_Hlk222580346"/>
    <w:p>
      <w:pPr>
        <w:pStyle w:val="style179"/>
        <w:numPr>
          <w:ilvl w:val="0"/>
          <w:numId w:val="16"/>
        </w:numPr>
        <w:rPr>
          <w:rFonts w:ascii="Verdana" w:cs="Arial" w:hAnsi="Verdana"/>
        </w:rPr>
      </w:pPr>
      <w:r>
        <w:rPr>
          <w:rFonts w:ascii="Verdana" w:cs="Arial" w:hAnsi="Verdana"/>
        </w:rPr>
        <w:t xml:space="preserve">Hôpital Général de </w:t>
      </w:r>
      <w:bookmarkEnd w:id="29"/>
      <w:r>
        <w:rPr>
          <w:rFonts w:ascii="Verdana" w:cs="Arial" w:hAnsi="Verdana"/>
        </w:rPr>
        <w:t>Yaoundé,</w:t>
      </w:r>
    </w:p>
    <w:p>
      <w:pPr>
        <w:pStyle w:val="style179"/>
        <w:numPr>
          <w:ilvl w:val="0"/>
          <w:numId w:val="16"/>
        </w:numPr>
        <w:rPr>
          <w:rFonts w:ascii="Verdana" w:cs="Arial" w:hAnsi="Verdana"/>
        </w:rPr>
      </w:pPr>
      <w:r>
        <w:rPr>
          <w:rFonts w:ascii="Verdana" w:cs="Arial" w:hAnsi="Verdana"/>
        </w:rPr>
        <w:t xml:space="preserve">Hôpital Général de </w:t>
      </w:r>
      <w:r>
        <w:rPr>
          <w:rFonts w:ascii="Verdana" w:cs="Arial" w:hAnsi="Verdana"/>
        </w:rPr>
        <w:t>Garoua</w:t>
      </w:r>
      <w:r>
        <w:rPr>
          <w:rFonts w:ascii="Verdana" w:cs="Arial" w:hAnsi="Verdana"/>
        </w:rPr>
        <w:t>,</w:t>
      </w:r>
    </w:p>
    <w:bookmarkStart w:id="30" w:name="_Hlk222580371"/>
    <w:p>
      <w:pPr>
        <w:pStyle w:val="style179"/>
        <w:numPr>
          <w:ilvl w:val="0"/>
          <w:numId w:val="16"/>
        </w:numPr>
        <w:rPr>
          <w:rFonts w:ascii="Verdana" w:cs="Arial" w:hAnsi="Verdana"/>
        </w:rPr>
      </w:pPr>
      <w:r>
        <w:rPr>
          <w:rFonts w:ascii="Verdana" w:cs="Arial" w:hAnsi="Verdana"/>
        </w:rPr>
        <w:t>Hôpital Gynéco-Obstétrique et Pédiatrique de Yaoundé</w:t>
      </w:r>
      <w:bookmarkEnd w:id="30"/>
      <w:r>
        <w:rPr>
          <w:rFonts w:ascii="Verdana" w:cs="Arial" w:hAnsi="Verdana"/>
        </w:rPr>
        <w:t xml:space="preserve">, </w:t>
      </w:r>
    </w:p>
    <w:p>
      <w:pPr>
        <w:pStyle w:val="style179"/>
        <w:numPr>
          <w:ilvl w:val="0"/>
          <w:numId w:val="16"/>
        </w:numPr>
        <w:rPr>
          <w:rFonts w:ascii="Verdana" w:cs="Arial" w:hAnsi="Verdana"/>
        </w:rPr>
      </w:pPr>
      <w:r>
        <w:rPr>
          <w:rFonts w:ascii="Verdana" w:cs="Arial" w:hAnsi="Verdana"/>
        </w:rPr>
        <w:t xml:space="preserve">Hôpital Gynéco-Obstétrique et Pédiatrique de Douala, </w:t>
      </w:r>
    </w:p>
    <w:p>
      <w:pPr>
        <w:pStyle w:val="style179"/>
        <w:numPr>
          <w:ilvl w:val="0"/>
          <w:numId w:val="16"/>
        </w:numPr>
        <w:rPr>
          <w:rFonts w:ascii="Verdana" w:cs="Arial" w:hAnsi="Verdana"/>
        </w:rPr>
      </w:pPr>
      <w:r>
        <w:rPr>
          <w:rFonts w:ascii="Verdana" w:cs="Arial" w:hAnsi="Verdana"/>
        </w:rPr>
        <w:t xml:space="preserve">Hôpital Central de </w:t>
      </w:r>
      <w:r>
        <w:rPr>
          <w:rFonts w:ascii="Verdana" w:cs="Arial" w:hAnsi="Verdana"/>
        </w:rPr>
        <w:t>Yaoundé,</w:t>
      </w:r>
    </w:p>
    <w:p>
      <w:pPr>
        <w:pStyle w:val="style179"/>
        <w:numPr>
          <w:ilvl w:val="0"/>
          <w:numId w:val="16"/>
        </w:numPr>
        <w:rPr>
          <w:rFonts w:ascii="Verdana" w:cs="Arial" w:hAnsi="Verdana"/>
        </w:rPr>
      </w:pPr>
      <w:r>
        <w:rPr>
          <w:rFonts w:ascii="Verdana" w:cs="Arial" w:hAnsi="Verdana"/>
        </w:rPr>
        <w:t>CHR Bafoussam,</w:t>
      </w:r>
    </w:p>
    <w:p>
      <w:pPr>
        <w:pStyle w:val="style179"/>
        <w:numPr>
          <w:ilvl w:val="0"/>
          <w:numId w:val="16"/>
        </w:numPr>
        <w:rPr>
          <w:rFonts w:ascii="Verdana" w:cs="Arial" w:hAnsi="Verdana"/>
        </w:rPr>
      </w:pPr>
      <w:r>
        <w:rPr>
          <w:rFonts w:ascii="Verdana" w:cs="Arial" w:hAnsi="Verdana"/>
        </w:rPr>
        <w:t>Hôpital Régional de Bafoussam,</w:t>
      </w:r>
    </w:p>
    <w:p>
      <w:pPr>
        <w:pStyle w:val="style0"/>
        <w:rPr>
          <w:rFonts w:ascii="Verdana" w:cs="Arial" w:hAnsi="Verdana"/>
        </w:rPr>
      </w:pPr>
      <w:r>
        <w:rPr>
          <w:rFonts w:ascii="Verdana" w:cs="Arial" w:hAnsi="Verdana"/>
        </w:rPr>
        <w:t xml:space="preserve">Nous avons également eu à envoyer le personnel en stage à </w:t>
      </w:r>
      <w:r>
        <w:rPr>
          <w:rFonts w:ascii="Verdana" w:cs="Arial" w:hAnsi="Verdana"/>
          <w:color w:val="ee0000"/>
        </w:rPr>
        <w:t>l’</w:t>
      </w:r>
      <w:r>
        <w:rPr>
          <w:rFonts w:ascii="Verdana" w:cs="Arial" w:hAnsi="Verdana"/>
        </w:rPr>
        <w:t xml:space="preserve">Hôpital Général de Douala et </w:t>
      </w:r>
      <w:r>
        <w:rPr>
          <w:rFonts w:ascii="Verdana" w:cs="Arial" w:hAnsi="Verdana"/>
        </w:rPr>
        <w:t>à l’</w:t>
      </w:r>
      <w:r>
        <w:rPr>
          <w:rFonts w:ascii="Verdana" w:cs="Arial" w:hAnsi="Verdana"/>
        </w:rPr>
        <w:t>H</w:t>
      </w:r>
      <w:r>
        <w:rPr>
          <w:rFonts w:ascii="Verdana" w:cs="Arial" w:hAnsi="Verdana"/>
        </w:rPr>
        <w:t>ôpital</w:t>
      </w:r>
      <w:r>
        <w:rPr>
          <w:rFonts w:ascii="Verdana" w:cs="Arial" w:hAnsi="Verdana"/>
        </w:rPr>
        <w:t xml:space="preserve"> Gynéco-Obstétrique et Pédiatrique de Yaoundé. </w:t>
      </w:r>
    </w:p>
    <w:p>
      <w:pPr>
        <w:pStyle w:val="style0"/>
        <w:jc w:val="both"/>
        <w:rPr>
          <w:rFonts w:ascii="Verdana" w:cs="Arial" w:hAnsi="Verdana"/>
        </w:rPr>
      </w:pPr>
      <w:r>
        <w:rPr>
          <w:rFonts w:ascii="Verdana" w:cs="Arial" w:hAnsi="Verdana"/>
        </w:rPr>
        <w:t>Sur le plan du partenariat International, nous avons entrepris des collaborations avec</w:t>
      </w:r>
      <w:r>
        <w:rPr>
          <w:rFonts w:ascii="Verdana" w:cs="Arial" w:hAnsi="Verdana"/>
        </w:rPr>
        <w:t> :</w:t>
      </w:r>
    </w:p>
    <w:p>
      <w:pPr>
        <w:pStyle w:val="style179"/>
        <w:numPr>
          <w:ilvl w:val="0"/>
          <w:numId w:val="2"/>
        </w:numPr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</w:rPr>
        <w:t>Le</w:t>
      </w:r>
      <w:r>
        <w:rPr>
          <w:rFonts w:ascii="Verdana" w:cs="Arial" w:hAnsi="Verdana"/>
        </w:rPr>
        <w:t xml:space="preserve"> </w:t>
      </w:r>
      <w:r>
        <w:rPr>
          <w:rFonts w:ascii="Verdana" w:cs="Arial" w:hAnsi="Verdana"/>
          <w:sz w:val="24"/>
          <w:szCs w:val="24"/>
        </w:rPr>
        <w:t>Groupe Hospitalier Nord-Esson</w:t>
      </w:r>
      <w:r>
        <w:rPr>
          <w:rFonts w:ascii="Verdana" w:cs="Arial" w:hAnsi="Verdana"/>
          <w:sz w:val="24"/>
          <w:szCs w:val="24"/>
        </w:rPr>
        <w:t>n</w:t>
      </w:r>
      <w:r>
        <w:rPr>
          <w:rFonts w:ascii="Verdana" w:cs="Arial" w:hAnsi="Verdana"/>
          <w:sz w:val="24"/>
          <w:szCs w:val="24"/>
        </w:rPr>
        <w:t>e en France (GHNE)</w:t>
      </w:r>
      <w:r>
        <w:rPr>
          <w:rFonts w:ascii="Verdana" w:cs="Arial" w:hAnsi="Verdana"/>
          <w:sz w:val="24"/>
          <w:szCs w:val="24"/>
        </w:rPr>
        <w:t>, où nous avons eu à envoyer 03 collaborateurs en stage</w:t>
      </w:r>
      <w:bookmarkEnd w:id="2"/>
      <w:bookmarkEnd w:id="3"/>
      <w:bookmarkEnd w:id="4"/>
      <w:bookmarkEnd w:id="5"/>
      <w:r>
        <w:rPr>
          <w:rFonts w:ascii="Verdana" w:cs="Arial" w:hAnsi="Verdana"/>
          <w:sz w:val="24"/>
          <w:szCs w:val="24"/>
        </w:rPr>
        <w:t xml:space="preserve"> </w:t>
      </w:r>
    </w:p>
    <w:p>
      <w:pPr>
        <w:pStyle w:val="style179"/>
        <w:numPr>
          <w:ilvl w:val="0"/>
          <w:numId w:val="2"/>
        </w:numPr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Le</w:t>
      </w:r>
      <w:r>
        <w:rPr>
          <w:rFonts w:ascii="Verdana" w:cs="Arial" w:hAnsi="Verdana"/>
          <w:sz w:val="24"/>
          <w:szCs w:val="24"/>
        </w:rPr>
        <w:t xml:space="preserve"> Centre Hospitalier Régional </w:t>
      </w:r>
      <w:r>
        <w:rPr>
          <w:rFonts w:ascii="Verdana" w:cs="Arial" w:hAnsi="Verdana"/>
          <w:sz w:val="24"/>
          <w:szCs w:val="24"/>
        </w:rPr>
        <w:t>Universitaire de</w:t>
      </w:r>
      <w:r>
        <w:rPr>
          <w:rFonts w:ascii="Verdana" w:cs="Arial" w:hAnsi="Verdana"/>
          <w:sz w:val="24"/>
          <w:szCs w:val="24"/>
        </w:rPr>
        <w:t xml:space="preserve"> Nancy en France ; </w:t>
      </w:r>
      <w:r>
        <w:rPr>
          <w:rFonts w:ascii="Verdana" w:cs="Arial" w:hAnsi="Verdana"/>
          <w:sz w:val="24"/>
          <w:szCs w:val="24"/>
        </w:rPr>
        <w:t>où nous avons envoyé 4 de nos collaborateurs</w:t>
      </w:r>
      <w:r>
        <w:rPr>
          <w:rFonts w:ascii="Verdana" w:cs="Arial" w:hAnsi="Verdana"/>
          <w:sz w:val="24"/>
          <w:szCs w:val="24"/>
        </w:rPr>
        <w:t xml:space="preserve">.  </w:t>
      </w:r>
    </w:p>
    <w:p>
      <w:pPr>
        <w:pStyle w:val="style0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 xml:space="preserve">Il est aussi important de noter </w:t>
      </w:r>
      <w:r>
        <w:rPr>
          <w:rFonts w:ascii="Verdana" w:cs="Arial" w:hAnsi="Verdana"/>
          <w:sz w:val="24"/>
          <w:szCs w:val="24"/>
        </w:rPr>
        <w:t>que nous avons re</w:t>
      </w:r>
      <w:r>
        <w:rPr>
          <w:rFonts w:ascii="Verdana" w:cs="Arial" w:hAnsi="Verdana"/>
          <w:sz w:val="24"/>
          <w:szCs w:val="24"/>
        </w:rPr>
        <w:t>çu la visite du Directeur adjoint du Groupe Hospitalier Nord-</w:t>
      </w:r>
      <w:r>
        <w:rPr>
          <w:rFonts w:ascii="Verdana" w:cs="Arial" w:hAnsi="Verdana"/>
          <w:sz w:val="24"/>
          <w:szCs w:val="24"/>
        </w:rPr>
        <w:t>Essonne</w:t>
      </w:r>
      <w:r>
        <w:rPr>
          <w:rFonts w:ascii="Verdana" w:cs="Arial" w:hAnsi="Verdana"/>
          <w:sz w:val="24"/>
          <w:szCs w:val="24"/>
        </w:rPr>
        <w:t>.</w:t>
      </w:r>
    </w:p>
    <w:p>
      <w:pPr>
        <w:pStyle w:val="style179"/>
        <w:ind w:left="1080"/>
        <w:rPr>
          <w:rFonts w:ascii="Verdana" w:cs="Arial" w:hAnsi="Verdana"/>
          <w:b/>
          <w:color w:val="00b050"/>
          <w:sz w:val="44"/>
          <w:szCs w:val="44"/>
          <w:highlight w:val="yellow"/>
        </w:rPr>
      </w:pPr>
    </w:p>
    <w:p>
      <w:pPr>
        <w:pStyle w:val="style179"/>
        <w:ind w:left="1080"/>
        <w:rPr>
          <w:rFonts w:ascii="Verdana" w:cs="Arial" w:hAnsi="Verdana"/>
          <w:b/>
          <w:color w:val="00b050"/>
          <w:sz w:val="44"/>
          <w:szCs w:val="44"/>
          <w:highlight w:val="yellow"/>
        </w:rPr>
      </w:pPr>
    </w:p>
    <w:p>
      <w:pPr>
        <w:pStyle w:val="style179"/>
        <w:ind w:left="1080"/>
        <w:rPr>
          <w:rFonts w:ascii="Verdana" w:cs="Arial" w:hAnsi="Verdana"/>
          <w:b/>
          <w:color w:val="00b050"/>
          <w:sz w:val="44"/>
          <w:szCs w:val="44"/>
          <w:highlight w:val="yellow"/>
        </w:rPr>
      </w:pPr>
    </w:p>
    <w:p>
      <w:pPr>
        <w:pStyle w:val="style179"/>
        <w:ind w:left="1080"/>
        <w:rPr>
          <w:rFonts w:ascii="Verdana" w:cs="Arial" w:hAnsi="Verdana"/>
          <w:b/>
          <w:color w:val="00b050"/>
          <w:sz w:val="44"/>
          <w:szCs w:val="44"/>
          <w:highlight w:val="yellow"/>
        </w:rPr>
      </w:pPr>
    </w:p>
    <w:p>
      <w:pPr>
        <w:pStyle w:val="style179"/>
        <w:ind w:left="1080"/>
        <w:rPr>
          <w:rFonts w:ascii="Verdana" w:cs="Arial" w:hAnsi="Verdana"/>
          <w:b/>
          <w:color w:val="00b050"/>
          <w:sz w:val="44"/>
          <w:szCs w:val="44"/>
          <w:highlight w:val="yellow"/>
        </w:rPr>
      </w:pPr>
    </w:p>
    <w:p>
      <w:pPr>
        <w:pStyle w:val="style179"/>
        <w:ind w:left="1080"/>
        <w:rPr>
          <w:rFonts w:ascii="Verdana" w:cs="Arial" w:hAnsi="Verdana"/>
          <w:b/>
          <w:color w:val="00b050"/>
          <w:sz w:val="44"/>
          <w:szCs w:val="44"/>
          <w:highlight w:val="yellow"/>
        </w:rPr>
      </w:pPr>
    </w:p>
    <w:p>
      <w:pPr>
        <w:pStyle w:val="style179"/>
        <w:ind w:left="1080"/>
        <w:rPr>
          <w:rFonts w:ascii="Verdana" w:cs="Arial" w:hAnsi="Verdana"/>
          <w:b/>
          <w:color w:val="00b050"/>
          <w:sz w:val="44"/>
          <w:szCs w:val="44"/>
          <w:highlight w:val="yellow"/>
        </w:rPr>
      </w:pPr>
    </w:p>
    <w:p>
      <w:pPr>
        <w:pStyle w:val="style179"/>
        <w:ind w:left="1080"/>
        <w:rPr>
          <w:rFonts w:ascii="Verdana" w:cs="Arial" w:hAnsi="Verdana"/>
          <w:b/>
          <w:color w:val="00b050"/>
          <w:sz w:val="44"/>
          <w:szCs w:val="44"/>
          <w:highlight w:val="yellow"/>
        </w:rPr>
      </w:pPr>
    </w:p>
    <w:p>
      <w:pPr>
        <w:pStyle w:val="style179"/>
        <w:ind w:left="1080"/>
        <w:rPr>
          <w:rFonts w:ascii="Verdana" w:cs="Arial" w:hAnsi="Verdana"/>
          <w:b/>
          <w:color w:val="00b050"/>
          <w:sz w:val="44"/>
          <w:szCs w:val="44"/>
          <w:highlight w:val="yellow"/>
        </w:rPr>
      </w:pPr>
    </w:p>
    <w:p>
      <w:pPr>
        <w:pStyle w:val="style179"/>
        <w:ind w:left="1080"/>
        <w:rPr>
          <w:rFonts w:ascii="Verdana" w:cs="Arial" w:hAnsi="Verdana"/>
          <w:b/>
          <w:color w:val="00b050"/>
          <w:sz w:val="44"/>
          <w:szCs w:val="44"/>
          <w:highlight w:val="yellow"/>
        </w:rPr>
      </w:pPr>
    </w:p>
    <w:p>
      <w:pPr>
        <w:pStyle w:val="style179"/>
        <w:ind w:left="1080"/>
        <w:rPr>
          <w:rFonts w:ascii="Verdana" w:cs="Arial" w:hAnsi="Verdana"/>
          <w:b/>
          <w:color w:val="00b050"/>
          <w:sz w:val="44"/>
          <w:szCs w:val="44"/>
          <w:highlight w:val="yellow"/>
        </w:rPr>
      </w:pPr>
    </w:p>
    <w:p>
      <w:pPr>
        <w:pStyle w:val="style179"/>
        <w:ind w:left="1080"/>
        <w:rPr>
          <w:rFonts w:ascii="Verdana" w:cs="Arial" w:hAnsi="Verdana"/>
          <w:b/>
          <w:color w:val="00b050"/>
          <w:sz w:val="44"/>
          <w:szCs w:val="44"/>
          <w:highlight w:val="yellow"/>
        </w:rPr>
      </w:pPr>
    </w:p>
    <w:p>
      <w:pPr>
        <w:pStyle w:val="style179"/>
        <w:ind w:left="1080"/>
        <w:rPr>
          <w:rFonts w:ascii="Verdana" w:cs="Arial" w:hAnsi="Verdana"/>
          <w:b/>
          <w:color w:val="00b050"/>
          <w:sz w:val="44"/>
          <w:szCs w:val="44"/>
          <w:highlight w:val="yellow"/>
        </w:rPr>
      </w:pPr>
    </w:p>
    <w:p>
      <w:pPr>
        <w:pStyle w:val="style179"/>
        <w:ind w:left="1080"/>
        <w:rPr>
          <w:rFonts w:ascii="Verdana" w:cs="Arial" w:hAnsi="Verdana"/>
          <w:b/>
          <w:color w:val="00b050"/>
          <w:sz w:val="44"/>
          <w:szCs w:val="44"/>
          <w:highlight w:val="yellow"/>
        </w:rPr>
      </w:pPr>
    </w:p>
    <w:p>
      <w:pPr>
        <w:pStyle w:val="style179"/>
        <w:ind w:left="1080"/>
        <w:rPr>
          <w:rFonts w:ascii="Verdana" w:cs="Arial" w:hAnsi="Verdana"/>
          <w:b/>
          <w:color w:val="00b050"/>
          <w:sz w:val="44"/>
          <w:szCs w:val="44"/>
          <w:highlight w:val="yellow"/>
        </w:rPr>
      </w:pPr>
    </w:p>
    <w:p>
      <w:pPr>
        <w:pStyle w:val="style179"/>
        <w:ind w:left="1080"/>
        <w:rPr>
          <w:rFonts w:ascii="Verdana" w:cs="Arial" w:hAnsi="Verdana"/>
          <w:b/>
          <w:color w:val="00b050"/>
          <w:sz w:val="44"/>
          <w:szCs w:val="44"/>
          <w:highlight w:val="yellow"/>
        </w:rPr>
      </w:pPr>
    </w:p>
    <w:p>
      <w:pPr>
        <w:pStyle w:val="style179"/>
        <w:ind w:left="1080"/>
        <w:rPr>
          <w:rFonts w:ascii="Verdana" w:cs="Arial" w:hAnsi="Verdana"/>
          <w:b/>
          <w:color w:val="00b050"/>
          <w:sz w:val="44"/>
          <w:szCs w:val="44"/>
          <w:highlight w:val="yellow"/>
        </w:rPr>
      </w:pPr>
    </w:p>
    <w:p>
      <w:pPr>
        <w:pStyle w:val="style179"/>
        <w:ind w:left="1080"/>
        <w:rPr>
          <w:rFonts w:ascii="Verdana" w:cs="Arial" w:hAnsi="Verdana"/>
          <w:b/>
          <w:color w:val="00b050"/>
          <w:sz w:val="44"/>
          <w:szCs w:val="44"/>
          <w:highlight w:val="yellow"/>
        </w:rPr>
      </w:pPr>
    </w:p>
    <w:p>
      <w:pPr>
        <w:pStyle w:val="style179"/>
        <w:ind w:left="1080"/>
        <w:rPr>
          <w:rFonts w:ascii="Verdana" w:cs="Arial" w:hAnsi="Verdana"/>
          <w:b/>
          <w:color w:val="00b050"/>
          <w:sz w:val="44"/>
          <w:szCs w:val="44"/>
          <w:highlight w:val="yellow"/>
        </w:rPr>
      </w:pPr>
    </w:p>
    <w:p>
      <w:pPr>
        <w:pStyle w:val="style179"/>
        <w:ind w:left="1080"/>
        <w:rPr>
          <w:rFonts w:ascii="Verdana" w:cs="Arial" w:hAnsi="Verdana"/>
          <w:b/>
          <w:color w:val="00b050"/>
          <w:sz w:val="44"/>
          <w:szCs w:val="44"/>
          <w:highlight w:val="yellow"/>
        </w:rPr>
      </w:pPr>
    </w:p>
    <w:p>
      <w:pPr>
        <w:pStyle w:val="style179"/>
        <w:ind w:left="1080"/>
        <w:rPr>
          <w:rFonts w:ascii="Verdana" w:cs="Arial" w:hAnsi="Verdana"/>
          <w:b/>
          <w:color w:val="00b050"/>
          <w:sz w:val="44"/>
          <w:szCs w:val="44"/>
          <w:highlight w:val="yellow"/>
        </w:rPr>
      </w:pPr>
    </w:p>
    <w:p>
      <w:pPr>
        <w:pStyle w:val="style179"/>
        <w:ind w:left="1080"/>
        <w:rPr>
          <w:rFonts w:ascii="Verdana" w:cs="Arial" w:hAnsi="Verdana"/>
          <w:b/>
          <w:color w:val="00b050"/>
          <w:sz w:val="44"/>
          <w:szCs w:val="44"/>
          <w:highlight w:val="yellow"/>
        </w:rPr>
      </w:pPr>
    </w:p>
    <w:p>
      <w:pPr>
        <w:pStyle w:val="style179"/>
        <w:ind w:left="1080"/>
        <w:rPr>
          <w:rFonts w:ascii="Verdana" w:cs="Arial" w:hAnsi="Verdana"/>
          <w:b/>
          <w:color w:val="00b050"/>
          <w:sz w:val="44"/>
          <w:szCs w:val="44"/>
          <w:highlight w:val="yellow"/>
        </w:rPr>
      </w:pPr>
    </w:p>
    <w:p>
      <w:pPr>
        <w:pStyle w:val="style179"/>
        <w:ind w:left="1080"/>
        <w:rPr>
          <w:rFonts w:ascii="Verdana" w:cs="Arial" w:hAnsi="Verdana"/>
          <w:b/>
          <w:color w:val="00b050"/>
          <w:sz w:val="44"/>
          <w:szCs w:val="44"/>
          <w:highlight w:val="yellow"/>
        </w:rPr>
      </w:pPr>
    </w:p>
    <w:p>
      <w:pPr>
        <w:pStyle w:val="style179"/>
        <w:ind w:left="1080"/>
        <w:rPr>
          <w:rFonts w:ascii="Verdana" w:cs="Arial" w:hAnsi="Verdana"/>
          <w:b/>
          <w:color w:val="00b050"/>
          <w:sz w:val="44"/>
          <w:szCs w:val="44"/>
          <w:highlight w:val="yellow"/>
        </w:rPr>
      </w:pPr>
    </w:p>
    <w:p>
      <w:pPr>
        <w:pStyle w:val="style179"/>
        <w:ind w:left="1080"/>
        <w:rPr>
          <w:rFonts w:ascii="Verdana" w:cs="Arial" w:hAnsi="Verdana"/>
          <w:b/>
          <w:color w:val="00b050"/>
          <w:sz w:val="44"/>
          <w:szCs w:val="44"/>
          <w:highlight w:val="yellow"/>
        </w:rPr>
      </w:pPr>
    </w:p>
    <w:p>
      <w:pPr>
        <w:pStyle w:val="style179"/>
        <w:ind w:left="1080"/>
        <w:rPr>
          <w:rFonts w:ascii="Verdana" w:cs="Arial" w:hAnsi="Verdana"/>
          <w:b/>
          <w:color w:val="00b050"/>
          <w:sz w:val="44"/>
          <w:szCs w:val="44"/>
          <w:highlight w:val="yellow"/>
        </w:rPr>
      </w:pPr>
    </w:p>
    <w:p>
      <w:pPr>
        <w:pStyle w:val="style179"/>
        <w:ind w:left="1080"/>
        <w:rPr>
          <w:rFonts w:ascii="Verdana" w:cs="Arial" w:hAnsi="Verdana"/>
          <w:b/>
          <w:color w:val="00b050"/>
          <w:sz w:val="44"/>
          <w:szCs w:val="44"/>
        </w:rPr>
      </w:pPr>
    </w:p>
    <w:bookmarkStart w:id="31" w:name="_Toc225355692"/>
    <w:p>
      <w:pPr>
        <w:pStyle w:val="style1"/>
        <w:jc w:val="center"/>
        <w:rPr/>
      </w:pPr>
      <w:r>
        <w:t>FAITS MARQUANTS</w:t>
      </w:r>
      <w:bookmarkEnd w:id="31"/>
    </w:p>
    <w:p>
      <w:pPr>
        <w:pStyle w:val="style0"/>
        <w:jc w:val="both"/>
        <w:rPr>
          <w:rFonts w:ascii="Verdana" w:cs="Arial" w:hAnsi="Verdana"/>
          <w:b/>
          <w:color w:val="00b050"/>
          <w:sz w:val="32"/>
          <w:szCs w:val="32"/>
          <w:highlight w:val="yellow"/>
          <w:u w:val="single"/>
        </w:rPr>
      </w:pPr>
    </w:p>
    <w:p>
      <w:pPr>
        <w:pStyle w:val="style0"/>
        <w:jc w:val="both"/>
        <w:rPr>
          <w:rFonts w:ascii="Verdana" w:cs="Arial" w:hAnsi="Verdana"/>
          <w:b/>
          <w:color w:val="00b050"/>
          <w:sz w:val="32"/>
          <w:szCs w:val="32"/>
          <w:highlight w:val="yellow"/>
          <w:u w:val="single"/>
        </w:rPr>
      </w:pPr>
    </w:p>
    <w:p>
      <w:pPr>
        <w:pStyle w:val="style0"/>
        <w:jc w:val="both"/>
        <w:rPr>
          <w:rFonts w:ascii="Verdana" w:cs="Arial" w:hAnsi="Verdana"/>
          <w:b/>
          <w:color w:val="00b050"/>
          <w:sz w:val="32"/>
          <w:szCs w:val="32"/>
          <w:highlight w:val="yellow"/>
          <w:u w:val="single"/>
        </w:rPr>
      </w:pPr>
    </w:p>
    <w:p>
      <w:pPr>
        <w:pStyle w:val="style0"/>
        <w:jc w:val="both"/>
        <w:rPr>
          <w:rFonts w:ascii="Verdana" w:cs="Arial" w:hAnsi="Verdana"/>
          <w:b/>
          <w:color w:val="00b050"/>
          <w:sz w:val="32"/>
          <w:szCs w:val="32"/>
          <w:highlight w:val="yellow"/>
          <w:u w:val="single"/>
        </w:rPr>
      </w:pPr>
    </w:p>
    <w:p>
      <w:pPr>
        <w:pStyle w:val="style0"/>
        <w:jc w:val="both"/>
        <w:rPr>
          <w:rFonts w:ascii="Verdana" w:cs="Arial" w:hAnsi="Verdana"/>
          <w:b/>
          <w:color w:val="00b050"/>
          <w:sz w:val="32"/>
          <w:szCs w:val="32"/>
          <w:highlight w:val="yellow"/>
          <w:u w:val="single"/>
        </w:rPr>
      </w:pPr>
    </w:p>
    <w:p>
      <w:pPr>
        <w:pStyle w:val="style0"/>
        <w:jc w:val="both"/>
        <w:rPr>
          <w:rFonts w:ascii="Verdana" w:cs="Arial" w:hAnsi="Verdana"/>
          <w:b/>
          <w:color w:val="00b050"/>
          <w:sz w:val="32"/>
          <w:szCs w:val="32"/>
          <w:highlight w:val="yellow"/>
          <w:u w:val="single"/>
        </w:rPr>
      </w:pPr>
    </w:p>
    <w:p>
      <w:pPr>
        <w:pStyle w:val="style0"/>
        <w:jc w:val="both"/>
        <w:rPr>
          <w:rFonts w:ascii="Verdana" w:cs="Arial" w:hAnsi="Verdana"/>
          <w:b/>
          <w:color w:val="00b050"/>
          <w:sz w:val="32"/>
          <w:szCs w:val="32"/>
          <w:highlight w:val="yellow"/>
          <w:u w:val="single"/>
        </w:rPr>
      </w:pPr>
    </w:p>
    <w:p>
      <w:pPr>
        <w:pStyle w:val="style0"/>
        <w:jc w:val="both"/>
        <w:rPr>
          <w:rFonts w:ascii="Verdana" w:cs="Arial" w:hAnsi="Verdana"/>
          <w:b/>
          <w:color w:val="00b050"/>
          <w:sz w:val="32"/>
          <w:szCs w:val="32"/>
          <w:highlight w:val="yellow"/>
          <w:u w:val="single"/>
        </w:rPr>
      </w:pPr>
    </w:p>
    <w:p>
      <w:pPr>
        <w:pStyle w:val="style0"/>
        <w:jc w:val="both"/>
        <w:rPr>
          <w:rFonts w:ascii="Verdana" w:cs="Arial" w:hAnsi="Verdana"/>
          <w:b/>
          <w:color w:val="00b050"/>
          <w:sz w:val="32"/>
          <w:szCs w:val="32"/>
          <w:highlight w:val="yellow"/>
          <w:u w:val="single"/>
        </w:rPr>
      </w:pPr>
    </w:p>
    <w:p>
      <w:pPr>
        <w:pStyle w:val="style0"/>
        <w:jc w:val="both"/>
        <w:rPr>
          <w:rFonts w:ascii="Verdana" w:cs="Arial" w:hAnsi="Verdana"/>
          <w:b/>
          <w:color w:val="00b050"/>
          <w:sz w:val="32"/>
          <w:szCs w:val="32"/>
          <w:highlight w:val="yellow"/>
          <w:u w:val="single"/>
        </w:rPr>
      </w:pPr>
    </w:p>
    <w:p>
      <w:pPr>
        <w:pStyle w:val="style0"/>
        <w:jc w:val="both"/>
        <w:rPr>
          <w:rFonts w:ascii="Verdana" w:cs="Arial" w:hAnsi="Verdana"/>
          <w:b/>
          <w:color w:val="00b050"/>
          <w:sz w:val="32"/>
          <w:szCs w:val="32"/>
          <w:highlight w:val="yellow"/>
          <w:u w:val="single"/>
        </w:rPr>
      </w:pPr>
    </w:p>
    <w:p>
      <w:pPr>
        <w:pStyle w:val="style0"/>
        <w:rPr>
          <w:rFonts w:ascii="Verdana" w:cs="Times New Roman" w:hAnsi="Verdana"/>
          <w:b/>
          <w:bCs/>
          <w:color w:val="00b0f0"/>
          <w:sz w:val="24"/>
          <w:szCs w:val="24"/>
        </w:rPr>
      </w:pPr>
    </w:p>
    <w:p>
      <w:pPr>
        <w:pStyle w:val="style0"/>
        <w:rPr>
          <w:rFonts w:ascii="Verdana" w:cs="Arial" w:hAnsi="Verdana"/>
          <w:b/>
          <w:color w:val="00b050"/>
          <w:highlight w:val="yellow"/>
        </w:rPr>
      </w:pPr>
      <w:r>
        <w:rPr>
          <w:rFonts w:ascii="Verdana" w:cs="Times New Roman" w:hAnsi="Verdana"/>
          <w:b/>
          <w:bCs/>
          <w:color w:val="00b0f0"/>
          <w:sz w:val="24"/>
          <w:szCs w:val="24"/>
        </w:rPr>
        <w:t>Lancement des activités de pédiatrie</w:t>
      </w:r>
      <w:r>
        <w:rPr>
          <w:rFonts w:ascii="Verdana" w:cs="Times New Roman" w:hAnsi="Verdana"/>
          <w:sz w:val="24"/>
          <w:szCs w:val="24"/>
        </w:rPr>
        <w:t> 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  <w:lang w:val="fr-FR"/>
        </w:rPr>
        <w:object>
          <v:shape id="1037" type="#_x0000_t75" filled="f" stroked="f" style="position:absolute;margin-left:259.6pt;margin-top:2.93pt;width:221.91pt;height:150.2pt;z-index:8;mso-position-horizontal-relative:text;mso-position-vertical-relative:text;mso-width-percent:0;mso-height-percent:0;mso-width-relative:page;mso-height-relative:page;mso-wrap-distance-left:0.0pt;mso-wrap-distance-right:0.0pt;visibility:visible;">
            <v:imagedata r:id="rId8" embosscolor="white" o:title=""/>
            <v:stroke on="f"/>
            <v:fill/>
          </v:shape>
          <o:OLEObject Type="EMBED" ProgID="Excel.Chart.8" ShapeID="1037" DrawAspect="Content" ObjectID="0" r:id="rId9"/>
        </w:object>
      </w:r>
      <w:r>
        <w:rPr>
          <w:rFonts w:ascii="Times New Roman" w:cs="Times New Roman" w:hAnsi="Times New Roman"/>
          <w:noProof/>
          <w:sz w:val="24"/>
          <w:szCs w:val="24"/>
          <w:lang w:val="fr-FR"/>
        </w:rPr>
        <w:drawing>
          <wp:anchor distT="0" distB="0" distL="0" distR="0" simplePos="false" relativeHeight="7" behindDoc="false" locked="false" layoutInCell="true" allowOverlap="true">
            <wp:simplePos x="0" y="0"/>
            <wp:positionH relativeFrom="margin">
              <wp:align>left</wp:align>
            </wp:positionH>
            <wp:positionV relativeFrom="paragraph">
              <wp:posOffset>37238</wp:posOffset>
            </wp:positionV>
            <wp:extent cx="2961564" cy="1876424"/>
            <wp:effectExtent l="0" t="0" r="0" b="0"/>
            <wp:wrapNone/>
            <wp:docPr id="1038" name="Imag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2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61564" cy="187642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</w:p>
    <w:p>
      <w:pPr>
        <w:pStyle w:val="style94"/>
        <w:rPr>
          <w:noProof/>
          <w:szCs w:val="24"/>
        </w:rPr>
      </w:pPr>
    </w:p>
    <w:p>
      <w:pPr>
        <w:pStyle w:val="style0"/>
        <w:rPr>
          <w:rFonts w:ascii="Verdana" w:cs="Times New Roman" w:hAnsi="Verdana"/>
          <w:color w:val="00b0f0"/>
          <w:sz w:val="24"/>
          <w:szCs w:val="24"/>
        </w:rPr>
      </w:pPr>
      <w:r>
        <w:rPr>
          <w:rFonts w:ascii="Verdana" w:cs="Times New Roman" w:hAnsi="Verdana"/>
          <w:color w:val="00b0f0"/>
          <w:sz w:val="24"/>
          <w:szCs w:val="24"/>
        </w:rPr>
        <w:t>Lancement des activités d’ophtalmologie</w:t>
      </w:r>
    </w:p>
    <w:p>
      <w:pPr>
        <w:pStyle w:val="style0"/>
        <w:rPr>
          <w:rFonts w:ascii="Times New Roman" w:cs="Times New Roman" w:hAnsi="Times New Roman"/>
          <w:color w:val="00b0f0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  <w:lang w:val="fr-FR"/>
        </w:rPr>
        <w:drawing>
          <wp:anchor distT="0" distB="0" distL="0" distR="0" simplePos="false" relativeHeight="10" behindDoc="false" locked="false" layoutInCell="true" allowOverlap="true">
            <wp:simplePos x="0" y="0"/>
            <wp:positionH relativeFrom="column">
              <wp:posOffset>3255948</wp:posOffset>
            </wp:positionH>
            <wp:positionV relativeFrom="paragraph">
              <wp:posOffset>40981</wp:posOffset>
            </wp:positionV>
            <wp:extent cx="2866030" cy="1845309"/>
            <wp:effectExtent l="0" t="0" r="0" b="2540"/>
            <wp:wrapNone/>
            <wp:docPr id="1039" name="Imag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2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866030" cy="184530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hAnsi="Times New Roman"/>
          <w:noProof/>
          <w:sz w:val="24"/>
          <w:szCs w:val="24"/>
          <w:lang w:val="fr-FR"/>
        </w:rPr>
        <w:drawing>
          <wp:anchor distT="0" distB="0" distL="0" distR="0" simplePos="false" relativeHeight="9" behindDoc="false" locked="false" layoutInCell="true" allowOverlap="true">
            <wp:simplePos x="0" y="0"/>
            <wp:positionH relativeFrom="margin">
              <wp:align>left</wp:align>
            </wp:positionH>
            <wp:positionV relativeFrom="paragraph">
              <wp:posOffset>34157</wp:posOffset>
            </wp:positionV>
            <wp:extent cx="2947917" cy="1845309"/>
            <wp:effectExtent l="0" t="0" r="5080" b="2540"/>
            <wp:wrapNone/>
            <wp:docPr id="1040" name="Imag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2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47917" cy="184530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spacing w:after="0"/>
        <w:jc w:val="both"/>
        <w:rPr>
          <w:rFonts w:ascii="Verdana" w:cs="Times New Roman" w:hAnsi="Verdana"/>
          <w:color w:val="00b0f0"/>
        </w:rPr>
      </w:pPr>
      <w:r>
        <w:rPr>
          <w:rFonts w:ascii="Verdana" w:hAnsi="Verdana"/>
          <w:noProof/>
          <w:color w:val="00b0f0"/>
        </w:rPr>
        <w:t xml:space="preserve"> </w:t>
      </w:r>
      <w:r>
        <w:rPr>
          <w:rFonts w:ascii="Verdana" w:cs="Times New Roman" w:hAnsi="Verdana"/>
          <w:color w:val="00b0f0"/>
        </w:rPr>
        <w:t xml:space="preserve">Accueil </w:t>
      </w:r>
      <w:r>
        <w:rPr>
          <w:rFonts w:ascii="Verdana" w:cs="Times New Roman" w:hAnsi="Verdana"/>
          <w:color w:val="00b0f0"/>
        </w:rPr>
        <w:t xml:space="preserve">d’une association de médecins camerounais exerçant en Europe </w:t>
      </w:r>
    </w:p>
    <w:p>
      <w:pPr>
        <w:pStyle w:val="style0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  <w:lang w:val="fr-FR"/>
        </w:rPr>
        <w:drawing>
          <wp:anchor distT="0" distB="0" distL="0" distR="0" simplePos="false" relativeHeight="12" behindDoc="false" locked="false" layoutInCell="true" allowOverlap="true">
            <wp:simplePos x="0" y="0"/>
            <wp:positionH relativeFrom="margin">
              <wp:align>left</wp:align>
            </wp:positionH>
            <wp:positionV relativeFrom="paragraph">
              <wp:posOffset>36413</wp:posOffset>
            </wp:positionV>
            <wp:extent cx="2927445" cy="1683385"/>
            <wp:effectExtent l="0" t="0" r="6350" b="0"/>
            <wp:wrapNone/>
            <wp:docPr id="1041" name="Imag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2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27445" cy="168338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hAnsi="Times New Roman"/>
          <w:noProof/>
          <w:sz w:val="24"/>
          <w:szCs w:val="24"/>
          <w:lang w:val="fr-FR"/>
        </w:rPr>
        <w:drawing>
          <wp:anchor distT="0" distB="0" distL="0" distR="0" simplePos="false" relativeHeight="11" behindDoc="false" locked="false" layoutInCell="true" allowOverlap="true">
            <wp:simplePos x="0" y="0"/>
            <wp:positionH relativeFrom="margin">
              <wp:posOffset>3248025</wp:posOffset>
            </wp:positionH>
            <wp:positionV relativeFrom="paragraph">
              <wp:posOffset>28926</wp:posOffset>
            </wp:positionV>
            <wp:extent cx="2891620" cy="1683385"/>
            <wp:effectExtent l="0" t="0" r="4445" b="0"/>
            <wp:wrapNone/>
            <wp:docPr id="1042" name="Imag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1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891620" cy="168338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 w:lineRule="auto" w:line="240"/>
        <w:rPr>
          <w:rFonts w:ascii="Times New Roman" w:cs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color w:val="00b0f0"/>
          <w:sz w:val="24"/>
          <w:szCs w:val="24"/>
        </w:rPr>
      </w:pPr>
      <w:r>
        <w:rPr>
          <w:rFonts w:ascii="Times New Roman" w:cs="Times New Roman" w:hAnsi="Times New Roman"/>
          <w:b/>
          <w:bCs/>
          <w:color w:val="00b0f0"/>
          <w:sz w:val="24"/>
          <w:szCs w:val="24"/>
          <w:u w:val="single"/>
        </w:rPr>
        <w:t>Le 04 février 2025</w:t>
      </w:r>
      <w:r>
        <w:rPr>
          <w:rFonts w:ascii="Times New Roman" w:cs="Times New Roman" w:hAnsi="Times New Roman"/>
          <w:b/>
          <w:bCs/>
          <w:color w:val="00b0f0"/>
          <w:sz w:val="24"/>
          <w:szCs w:val="24"/>
        </w:rPr>
        <w:t> :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color w:val="00b0f0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color w:val="00b0f0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color w:val="00b0f0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color w:val="00b0f0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color w:val="00b0f0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b/>
          <w:bCs/>
          <w:color w:val="00b0f0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color w:val="00b0f0"/>
          <w:sz w:val="24"/>
          <w:szCs w:val="24"/>
        </w:rPr>
      </w:pPr>
      <w:r>
        <w:rPr>
          <w:rFonts w:ascii="Times New Roman" w:cs="Times New Roman" w:hAnsi="Times New Roman"/>
          <w:color w:val="00b0f0"/>
          <w:sz w:val="24"/>
          <w:szCs w:val="24"/>
        </w:rPr>
        <w:t>Campagne PROMOTION SANTE GRATUITE, organisée par Le Dr MANAOUDA MALACHIE, Ministre de la Santé Publique</w:t>
      </w:r>
    </w:p>
    <w:p>
      <w:pPr>
        <w:pStyle w:val="style0"/>
        <w:spacing w:after="0" w:lineRule="auto" w:line="240"/>
        <w:rPr>
          <w:rFonts w:ascii="Times New Roman" w:cs="Times New Roman" w:hAnsi="Times New Roman"/>
          <w:color w:val="00b0f0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  <w:lang w:val="fr-FR"/>
        </w:rPr>
        <w:drawing>
          <wp:anchor distT="0" distB="0" distL="0" distR="0" simplePos="false" relativeHeight="18" behindDoc="false" locked="false" layoutInCell="true" allowOverlap="true">
            <wp:simplePos x="0" y="0"/>
            <wp:positionH relativeFrom="margin">
              <wp:posOffset>3249532</wp:posOffset>
            </wp:positionH>
            <wp:positionV relativeFrom="paragraph">
              <wp:posOffset>3819</wp:posOffset>
            </wp:positionV>
            <wp:extent cx="2743199" cy="2047874"/>
            <wp:effectExtent l="0" t="0" r="0" b="9525"/>
            <wp:wrapNone/>
            <wp:docPr id="1043" name="Image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4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743199" cy="204787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hAnsi="Times New Roman"/>
          <w:noProof/>
          <w:sz w:val="24"/>
          <w:szCs w:val="24"/>
          <w:lang w:val="fr-FR"/>
        </w:rPr>
        <w:drawing>
          <wp:anchor distT="0" distB="0" distL="0" distR="0" simplePos="false" relativeHeight="17" behindDoc="false" locked="false" layoutInCell="true" allowOverlap="true">
            <wp:simplePos x="0" y="0"/>
            <wp:positionH relativeFrom="column">
              <wp:posOffset>0</wp:posOffset>
            </wp:positionH>
            <wp:positionV relativeFrom="paragraph">
              <wp:posOffset>36195</wp:posOffset>
            </wp:positionV>
            <wp:extent cx="2743200" cy="2047874"/>
            <wp:effectExtent l="0" t="0" r="0" b="9525"/>
            <wp:wrapNone/>
            <wp:docPr id="1044" name="Imag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3"/>
                    <pic:cNvPicPr/>
                  </pic:nvPicPr>
                  <pic:blipFill>
                    <a:blip r:embed="rId1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743200" cy="204787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 w:lineRule="auto" w:line="240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Verdana" w:cs="Times New Roman" w:hAnsi="Verdana"/>
          <w:color w:val="00b0f0"/>
        </w:rPr>
      </w:pPr>
      <w:r>
        <w:rPr>
          <w:rFonts w:ascii="Times New Roman" w:cs="Times New Roman" w:hAnsi="Times New Roman"/>
          <w:noProof/>
          <w:sz w:val="24"/>
          <w:szCs w:val="24"/>
          <w:lang w:val="fr-FR"/>
        </w:rPr>
        <mc:AlternateContent>
          <mc:Choice Requires="wpg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margin">
                  <wp:align>right</wp:align>
                </wp:positionH>
                <wp:positionV relativeFrom="paragraph">
                  <wp:posOffset>-9779</wp:posOffset>
                </wp:positionV>
                <wp:extent cx="6199539" cy="1743461"/>
                <wp:effectExtent l="0" t="0" r="0" b="9525"/>
                <wp:wrapNone/>
                <wp:docPr id="1045" name="Group 12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6199539" cy="1743461"/>
                          <a:chOff x="1068552" y="1101924"/>
                          <a:chExt cx="66455" cy="15772"/>
                        </a:xfrm>
                      </wpg:grpSpPr>
                      <pic:pic xmlns:pic="http://schemas.openxmlformats.org/drawingml/2006/picture">
                        <pic:nvPicPr>
                          <pic:cNvPr id="12" name="Image"/>
                          <pic:cNvPicPr/>
                        </pic:nvPicPr>
                        <pic:blipFill>
                          <a:blip r:embed="rId17" cstate="print"/>
                          <a:srcRect l="0" t="0" r="0" b="0"/>
                          <a:stretch/>
                        </pic:blipFill>
                        <pic:spPr>
                          <a:xfrm rot="0">
                            <a:off x="1068552" y="1101924"/>
                            <a:ext cx="29927" cy="15767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Image"/>
                          <pic:cNvPicPr/>
                        </pic:nvPicPr>
                        <pic:blipFill>
                          <a:blip r:embed="rId18" cstate="print"/>
                          <a:srcRect l="0" t="0" r="0" b="0"/>
                          <a:stretch/>
                        </pic:blipFill>
                        <pic:spPr>
                          <a:xfrm rot="0">
                            <a:off x="1100853" y="1102194"/>
                            <a:ext cx="34154" cy="15502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1045" filled="f" stroked="f" style="position:absolute;margin-left:0.0pt;margin-top:-0.77pt;width:488.15pt;height:137.28pt;z-index:19;mso-position-horizontal:right;mso-position-horizontal-relative:margin;mso-position-vertical-relative:text;mso-width-percent:0;mso-height-percent:0;mso-width-relative:page;mso-height-relative:page;mso-wrap-distance-left:0.0pt;mso-wrap-distance-right:0.0pt;visibility:visible;" coordsize="66455,15772" coordorigin="1068552,1101924">
                <v:shape id="1046" type="#_x0000_t75" filled="f" stroked="f" style="position:absolute;left:1068552;top:1101924;width:29927;height:15767;z-index:2;mso-position-horizontal-relative:page;mso-position-vertical-relative:page;mso-width-relative:page;mso-height-relative:page;visibility:visible;">
                  <v:imagedata r:id="rId17" embosscolor="white" o:title=""/>
                  <v:stroke on="f"/>
                  <v:fill/>
                </v:shape>
                <v:shape id="1047" type="#_x0000_t75" filled="f" stroked="f" style="position:absolute;left:1100853;top:1102194;width:34154;height:15502;z-index:3;mso-position-horizontal-relative:page;mso-position-vertical-relative:page;mso-width-relative:page;mso-height-relative:page;visibility:visible;">
                  <v:imagedata r:id="rId18" embosscolor="white" o:title=""/>
                  <v:stroke on="f"/>
                  <v:fill/>
                </v:shape>
                <v:fill/>
              </v:group>
            </w:pict>
          </mc:Fallback>
        </mc:AlternateContent>
      </w: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Verdana" w:cs="Times New Roman" w:hAnsi="Verdana"/>
          <w:color w:val="00b0f0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Verdana" w:cs="Times New Roman" w:hAnsi="Verdana"/>
          <w:color w:val="00b0f0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Verdana" w:cs="Times New Roman" w:hAnsi="Verdana"/>
          <w:color w:val="00b0f0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Verdana" w:cs="Times New Roman" w:hAnsi="Verdana"/>
          <w:color w:val="00b0f0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Verdana" w:cs="Times New Roman" w:hAnsi="Verdana"/>
          <w:color w:val="00b0f0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Verdana" w:cs="Times New Roman" w:hAnsi="Verdana"/>
          <w:color w:val="00b0f0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Verdana" w:cs="Times New Roman" w:hAnsi="Verdana"/>
          <w:color w:val="00b0f0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Verdana" w:cs="Times New Roman" w:hAnsi="Verdana"/>
          <w:color w:val="00b0f0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Verdana" w:cs="Times New Roman" w:hAnsi="Verdana"/>
          <w:color w:val="00b0f0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Verdana" w:cs="Times New Roman" w:hAnsi="Verdana"/>
          <w:color w:val="00b0f0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Verdana" w:cs="Times New Roman" w:hAnsi="Verdana"/>
          <w:color w:val="00b0f0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Verdana" w:cs="Times New Roman" w:hAnsi="Verdana"/>
          <w:color w:val="00b0f0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sz w:val="24"/>
          <w:szCs w:val="24"/>
        </w:rPr>
      </w:pPr>
      <w:r>
        <w:rPr>
          <w:rFonts w:ascii="Verdana" w:cs="Times New Roman" w:hAnsi="Verdana"/>
          <w:color w:val="00b0f0"/>
        </w:rPr>
        <w:t xml:space="preserve">Accueil du Directeur </w:t>
      </w:r>
      <w:r>
        <w:rPr>
          <w:rFonts w:ascii="Verdana" w:cs="Times New Roman" w:hAnsi="Verdana"/>
          <w:color w:val="00b0f0"/>
        </w:rPr>
        <w:t>du CHRM de retour de Yaoundé après obtention de sa médaille à titre exceptionnel des mains du Ministre de la Santé Publique</w:t>
      </w: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  <w:lang w:val="fr-FR"/>
        </w:rPr>
        <w:drawing>
          <wp:anchor distT="0" distB="0" distL="0" distR="0" simplePos="false" relativeHeight="13" behindDoc="false" locked="false" layoutInCell="true" allowOverlap="true">
            <wp:simplePos x="0" y="0"/>
            <wp:positionH relativeFrom="column">
              <wp:posOffset>-401031</wp:posOffset>
            </wp:positionH>
            <wp:positionV relativeFrom="paragraph">
              <wp:posOffset>39354</wp:posOffset>
            </wp:positionV>
            <wp:extent cx="3146961" cy="1866900"/>
            <wp:effectExtent l="0" t="0" r="0" b="0"/>
            <wp:wrapNone/>
            <wp:docPr id="1048" name="Imag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2"/>
                    <pic:cNvPicPr/>
                  </pic:nvPicPr>
                  <pic:blipFill>
                    <a:blip r:embed="rId1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146961" cy="18669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hAnsi="Times New Roman"/>
          <w:noProof/>
          <w:sz w:val="24"/>
          <w:szCs w:val="24"/>
          <w:lang w:val="fr-FR"/>
        </w:rPr>
        <w:drawing>
          <wp:anchor distT="0" distB="0" distL="0" distR="0" simplePos="false" relativeHeight="14" behindDoc="false" locked="false" layoutInCell="true" allowOverlap="true">
            <wp:simplePos x="0" y="0"/>
            <wp:positionH relativeFrom="column">
              <wp:posOffset>3208181</wp:posOffset>
            </wp:positionH>
            <wp:positionV relativeFrom="paragraph">
              <wp:posOffset>4587</wp:posOffset>
            </wp:positionV>
            <wp:extent cx="2913797" cy="1904365"/>
            <wp:effectExtent l="0" t="0" r="1270" b="635"/>
            <wp:wrapNone/>
            <wp:docPr id="1049" name="Imag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2"/>
                    <pic:cNvPicPr/>
                  </pic:nvPicPr>
                  <pic:blipFill>
                    <a:blip r:embed="rId2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13797" cy="190436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hAnsi="Times New Roman"/>
          <w:noProof/>
          <w:sz w:val="24"/>
          <w:szCs w:val="24"/>
        </w:rPr>
        <w:t xml:space="preserve"> </w:t>
      </w: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  <w:r>
        <w:rPr>
          <w:rFonts w:ascii="Times New Roman" w:cs="Times New Roman" w:hAnsi="Times New Roman"/>
          <w:noProof/>
          <w:sz w:val="24"/>
          <w:szCs w:val="24"/>
          <w:lang w:val="fr-FR"/>
        </w:rPr>
        <w:drawing>
          <wp:anchor distT="0" distB="0" distL="0" distR="0" simplePos="false" relativeHeight="16" behindDoc="false" locked="false" layoutInCell="true" allowOverlap="true">
            <wp:simplePos x="0" y="0"/>
            <wp:positionH relativeFrom="column">
              <wp:posOffset>3208181</wp:posOffset>
            </wp:positionH>
            <wp:positionV relativeFrom="paragraph">
              <wp:posOffset>6017</wp:posOffset>
            </wp:positionV>
            <wp:extent cx="2865755" cy="1808329"/>
            <wp:effectExtent l="0" t="0" r="0" b="1905"/>
            <wp:wrapNone/>
            <wp:docPr id="1050" name="Imag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"/>
                    <pic:cNvPicPr/>
                  </pic:nvPicPr>
                  <pic:blipFill>
                    <a:blip r:embed="rId2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865755" cy="180832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hAnsi="Times New Roman"/>
          <w:noProof/>
          <w:sz w:val="24"/>
          <w:szCs w:val="24"/>
          <w:lang w:val="fr-FR"/>
        </w:rPr>
        <w:drawing>
          <wp:anchor distT="0" distB="0" distL="0" distR="0" simplePos="false" relativeHeight="15" behindDoc="false" locked="false" layoutInCell="true" allowOverlap="true">
            <wp:simplePos x="0" y="0"/>
            <wp:positionH relativeFrom="column">
              <wp:posOffset>0</wp:posOffset>
            </wp:positionH>
            <wp:positionV relativeFrom="paragraph">
              <wp:posOffset>36830</wp:posOffset>
            </wp:positionV>
            <wp:extent cx="2743200" cy="1784985"/>
            <wp:effectExtent l="0" t="0" r="0" b="5715"/>
            <wp:wrapNone/>
            <wp:docPr id="1051" name="Imag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2"/>
                    <pic:cNvPicPr/>
                  </pic:nvPicPr>
                  <pic:blipFill>
                    <a:blip r:embed="rId2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743200" cy="178498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  <w:r>
        <w:rPr>
          <w:rFonts w:ascii="Times New Roman" w:cs="Times New Roman" w:hAnsi="Times New Roman"/>
          <w:noProof/>
          <w:color w:val="00b0f0"/>
          <w:sz w:val="24"/>
          <w:szCs w:val="24"/>
        </w:rPr>
        <w:t xml:space="preserve"> </w:t>
      </w: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tabs>
          <w:tab w:val="left" w:leader="none" w:pos="3360"/>
        </w:tabs>
        <w:spacing w:after="0" w:lineRule="auto" w:line="240"/>
        <w:jc w:val="both"/>
        <w:rPr>
          <w:rFonts w:ascii="Times New Roman" w:cs="Times New Roman" w:hAnsi="Times New Roman"/>
          <w:color w:val="00b0f0"/>
          <w:sz w:val="24"/>
          <w:szCs w:val="24"/>
        </w:rPr>
      </w:pPr>
    </w:p>
    <w:p>
      <w:pPr>
        <w:pStyle w:val="style0"/>
        <w:rPr>
          <w:rFonts w:ascii="Verdana" w:cs="Arial" w:hAnsi="Verdana"/>
          <w:b/>
          <w:highlight w:val="yellow"/>
          <w:lang w:eastAsia="en-US"/>
        </w:rPr>
      </w:pPr>
    </w:p>
    <w:p>
      <w:pPr>
        <w:pStyle w:val="style0"/>
        <w:rPr>
          <w:rFonts w:ascii="Verdana" w:cs="Arial" w:hAnsi="Verdana"/>
          <w:b/>
          <w:highlight w:val="yellow"/>
          <w:lang w:eastAsia="en-US"/>
        </w:rPr>
      </w:pPr>
    </w:p>
    <w:p>
      <w:pPr>
        <w:pStyle w:val="style0"/>
        <w:rPr>
          <w:rFonts w:ascii="Verdana" w:cs="Arial" w:hAnsi="Verdana"/>
          <w:b/>
          <w:highlight w:val="yellow"/>
          <w:lang w:eastAsia="en-US"/>
        </w:rPr>
      </w:pPr>
    </w:p>
    <w:p>
      <w:pPr>
        <w:pStyle w:val="style0"/>
        <w:rPr>
          <w:rFonts w:ascii="Verdana" w:cs="Arial" w:hAnsi="Verdana"/>
          <w:b/>
          <w:highlight w:val="yellow"/>
          <w:lang w:eastAsia="en-US"/>
        </w:rPr>
      </w:pPr>
    </w:p>
    <w:p>
      <w:pPr>
        <w:pStyle w:val="style0"/>
        <w:rPr>
          <w:rFonts w:ascii="Verdana" w:cs="Arial" w:hAnsi="Verdana"/>
          <w:b/>
          <w:highlight w:val="yellow"/>
          <w:lang w:eastAsia="en-US"/>
        </w:rPr>
      </w:pPr>
    </w:p>
    <w:p>
      <w:pPr>
        <w:pStyle w:val="style0"/>
        <w:rPr>
          <w:rFonts w:ascii="Verdana" w:cs="Arial" w:hAnsi="Verdana"/>
          <w:b/>
          <w:highlight w:val="yellow"/>
          <w:lang w:eastAsia="en-US"/>
        </w:rPr>
      </w:pPr>
    </w:p>
    <w:p>
      <w:pPr>
        <w:pStyle w:val="style0"/>
        <w:rPr>
          <w:rFonts w:ascii="Verdana" w:cs="Arial" w:hAnsi="Verdana"/>
          <w:b/>
          <w:highlight w:val="yellow"/>
          <w:lang w:eastAsia="en-US"/>
        </w:rPr>
      </w:pPr>
    </w:p>
    <w:p>
      <w:pPr>
        <w:pStyle w:val="style0"/>
        <w:rPr>
          <w:rFonts w:ascii="Verdana" w:cs="Arial" w:hAnsi="Verdana"/>
          <w:b/>
          <w:highlight w:val="yellow"/>
          <w:lang w:eastAsia="en-US"/>
        </w:rPr>
      </w:pPr>
    </w:p>
    <w:p>
      <w:pPr>
        <w:pStyle w:val="style0"/>
        <w:rPr>
          <w:rFonts w:ascii="Verdana" w:cs="Arial" w:hAnsi="Verdana"/>
          <w:b/>
          <w:highlight w:val="yellow"/>
          <w:lang w:eastAsia="en-US"/>
        </w:rPr>
      </w:pPr>
    </w:p>
    <w:p>
      <w:pPr>
        <w:pStyle w:val="style0"/>
        <w:rPr>
          <w:rFonts w:ascii="Verdana" w:cs="Arial" w:hAnsi="Verdana"/>
          <w:b/>
          <w:highlight w:val="yellow"/>
          <w:lang w:eastAsia="en-US"/>
        </w:rPr>
      </w:pPr>
    </w:p>
    <w:p>
      <w:pPr>
        <w:pStyle w:val="style0"/>
        <w:rPr>
          <w:rFonts w:ascii="Verdana" w:cs="Arial" w:hAnsi="Verdana"/>
          <w:b/>
          <w:highlight w:val="yellow"/>
          <w:lang w:eastAsia="en-US"/>
        </w:rPr>
      </w:pPr>
    </w:p>
    <w:p>
      <w:pPr>
        <w:pStyle w:val="style0"/>
        <w:rPr>
          <w:rFonts w:ascii="Verdana" w:cs="Arial" w:hAnsi="Verdana"/>
          <w:b/>
          <w:highlight w:val="yellow"/>
          <w:lang w:eastAsia="en-US"/>
        </w:rPr>
      </w:pPr>
    </w:p>
    <w:bookmarkStart w:id="32" w:name="_Toc225355693"/>
    <w:p>
      <w:pPr>
        <w:pStyle w:val="style1"/>
        <w:jc w:val="center"/>
        <w:rPr/>
      </w:pPr>
      <w:r>
        <w:t>SANTE DE LA MERE</w:t>
      </w:r>
      <w:r>
        <w:t xml:space="preserve"> ET</w:t>
      </w:r>
      <w:r>
        <w:t xml:space="preserve"> DE L’ENFANT</w:t>
      </w:r>
      <w:bookmarkEnd w:id="32"/>
    </w:p>
    <w:p>
      <w:pPr>
        <w:pStyle w:val="style0"/>
        <w:jc w:val="center"/>
        <w:rPr>
          <w:rFonts w:ascii="Verdana" w:cs="Arial" w:hAnsi="Verdana"/>
          <w:b/>
          <w:color w:val="00b050"/>
          <w:sz w:val="44"/>
          <w:szCs w:val="44"/>
        </w:rPr>
      </w:pPr>
    </w:p>
    <w:p>
      <w:pPr>
        <w:pStyle w:val="style0"/>
        <w:rPr>
          <w:rFonts w:ascii="Verdana" w:cs="Arial" w:hAnsi="Verdana"/>
          <w:b/>
          <w:highlight w:val="yellow"/>
          <w:lang w:eastAsia="en-US"/>
        </w:rPr>
      </w:pPr>
    </w:p>
    <w:p>
      <w:pPr>
        <w:pStyle w:val="style0"/>
        <w:rPr>
          <w:rFonts w:ascii="Verdana" w:cs="Arial" w:hAnsi="Verdana"/>
          <w:b/>
          <w:highlight w:val="yellow"/>
          <w:lang w:eastAsia="en-US"/>
        </w:rPr>
      </w:pPr>
    </w:p>
    <w:p>
      <w:pPr>
        <w:pStyle w:val="style0"/>
        <w:rPr>
          <w:rFonts w:ascii="Verdana" w:cs="Arial" w:hAnsi="Verdana"/>
          <w:b/>
          <w:highlight w:val="yellow"/>
          <w:lang w:eastAsia="en-US"/>
        </w:rPr>
      </w:pPr>
    </w:p>
    <w:p>
      <w:pPr>
        <w:pStyle w:val="style0"/>
        <w:rPr>
          <w:rFonts w:ascii="Verdana" w:cs="Arial" w:hAnsi="Verdana"/>
          <w:b/>
          <w:highlight w:val="yellow"/>
          <w:lang w:eastAsia="en-US"/>
        </w:rPr>
      </w:pPr>
    </w:p>
    <w:p>
      <w:pPr>
        <w:pStyle w:val="style0"/>
        <w:rPr>
          <w:rFonts w:ascii="Verdana" w:cs="Arial" w:hAnsi="Verdana"/>
          <w:b/>
          <w:highlight w:val="yellow"/>
          <w:lang w:eastAsia="en-US"/>
        </w:rPr>
      </w:pPr>
    </w:p>
    <w:p>
      <w:pPr>
        <w:pStyle w:val="style0"/>
        <w:rPr>
          <w:rFonts w:ascii="Verdana" w:cs="Arial" w:hAnsi="Verdana"/>
          <w:b/>
          <w:highlight w:val="yellow"/>
          <w:lang w:eastAsia="en-US"/>
        </w:rPr>
      </w:pPr>
    </w:p>
    <w:p>
      <w:pPr>
        <w:pStyle w:val="style0"/>
        <w:rPr>
          <w:rFonts w:ascii="Verdana" w:cs="Arial" w:hAnsi="Verdana"/>
          <w:b/>
          <w:highlight w:val="yellow"/>
          <w:lang w:eastAsia="en-US"/>
        </w:rPr>
      </w:pPr>
    </w:p>
    <w:p>
      <w:pPr>
        <w:pStyle w:val="style0"/>
        <w:rPr>
          <w:rFonts w:ascii="Verdana" w:cs="Arial" w:hAnsi="Verdana"/>
          <w:b/>
          <w:highlight w:val="yellow"/>
          <w:lang w:eastAsia="en-US"/>
        </w:rPr>
      </w:pPr>
    </w:p>
    <w:p>
      <w:pPr>
        <w:pStyle w:val="style0"/>
        <w:rPr>
          <w:rFonts w:ascii="Verdana" w:cs="Arial" w:hAnsi="Verdana"/>
          <w:b/>
          <w:highlight w:val="yellow"/>
          <w:lang w:eastAsia="en-US"/>
        </w:rPr>
      </w:pPr>
    </w:p>
    <w:p>
      <w:pPr>
        <w:pStyle w:val="style0"/>
        <w:rPr>
          <w:rFonts w:ascii="Verdana" w:cs="Arial" w:hAnsi="Verdana"/>
          <w:b/>
          <w:highlight w:val="yellow"/>
          <w:lang w:eastAsia="en-US"/>
        </w:rPr>
      </w:pPr>
    </w:p>
    <w:p>
      <w:pPr>
        <w:pStyle w:val="style0"/>
        <w:rPr>
          <w:rFonts w:ascii="Verdana" w:cs="Arial" w:hAnsi="Verdana"/>
          <w:b/>
          <w:highlight w:val="yellow"/>
          <w:lang w:eastAsia="en-US"/>
        </w:rPr>
      </w:pPr>
    </w:p>
    <w:p>
      <w:pPr>
        <w:pStyle w:val="style0"/>
        <w:rPr>
          <w:rFonts w:ascii="Verdana" w:cs="Arial" w:hAnsi="Verdana"/>
          <w:b/>
          <w:highlight w:val="yellow"/>
          <w:lang w:eastAsia="en-US"/>
        </w:rPr>
      </w:pPr>
    </w:p>
    <w:p>
      <w:pPr>
        <w:pStyle w:val="style0"/>
        <w:rPr>
          <w:rFonts w:ascii="Verdana" w:cs="Arial" w:hAnsi="Verdana"/>
          <w:b/>
          <w:highlight w:val="yellow"/>
          <w:lang w:eastAsia="en-US"/>
        </w:rPr>
      </w:pPr>
    </w:p>
    <w:bookmarkStart w:id="33" w:name="_Toc225355694"/>
    <w:p>
      <w:pPr>
        <w:pStyle w:val="style2"/>
        <w:rPr>
          <w:color w:val="00b050"/>
        </w:rPr>
      </w:pPr>
      <w:r>
        <w:rPr>
          <w:color w:val="00b050"/>
        </w:rPr>
        <w:t>Santé de la mère</w:t>
      </w:r>
      <w:bookmarkEnd w:id="33"/>
      <w:r>
        <w:rPr>
          <w:color w:val="00b050"/>
        </w:rPr>
        <w:t xml:space="preserve"> </w:t>
      </w:r>
    </w:p>
    <w:p>
      <w:pPr>
        <w:pStyle w:val="style0"/>
        <w:spacing w:lineRule="auto" w:line="259"/>
        <w:jc w:val="both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Le CHR de Maroua a lancé ses activités de santé publique en janvier 2025. Tout au long de l’année, 150 femmes enceintes ont été reçues en CPN1 et toutes avant la 16</w:t>
      </w:r>
      <w:r>
        <w:rPr>
          <w:rFonts w:ascii="Verdana" w:hAnsi="Verdana"/>
          <w:bCs/>
          <w:sz w:val="24"/>
          <w:szCs w:val="24"/>
          <w:vertAlign w:val="superscript"/>
        </w:rPr>
        <w:t>ème</w:t>
      </w:r>
      <w:r>
        <w:rPr>
          <w:rFonts w:ascii="Verdana" w:hAnsi="Verdana"/>
          <w:bCs/>
          <w:sz w:val="24"/>
          <w:szCs w:val="24"/>
        </w:rPr>
        <w:t xml:space="preserve"> semaine de grossesse. Aucun cas de VIH ni de syphilis n’a été enregistré au cours des CPN mais un cas de VIH+ a été enregistré en salle d’accouchement.</w:t>
      </w:r>
    </w:p>
    <w:p>
      <w:pPr>
        <w:pStyle w:val="style0"/>
        <w:spacing w:lineRule="auto" w:line="259"/>
        <w:jc w:val="both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On note </w:t>
      </w:r>
      <w:r>
        <w:rPr>
          <w:rFonts w:ascii="Verdana" w:hAnsi="Verdana"/>
          <w:bCs/>
          <w:sz w:val="24"/>
          <w:szCs w:val="24"/>
        </w:rPr>
        <w:t>malheureusement</w:t>
      </w:r>
      <w:r>
        <w:rPr>
          <w:rFonts w:ascii="Verdana" w:hAnsi="Verdana"/>
          <w:bCs/>
          <w:sz w:val="24"/>
          <w:szCs w:val="24"/>
        </w:rPr>
        <w:t xml:space="preserve"> que les activités de </w:t>
      </w:r>
      <w:r>
        <w:rPr>
          <w:rFonts w:ascii="Verdana" w:hAnsi="Verdana"/>
          <w:bCs/>
          <w:sz w:val="24"/>
          <w:szCs w:val="24"/>
        </w:rPr>
        <w:t>planning</w:t>
      </w:r>
      <w:r>
        <w:rPr>
          <w:rFonts w:ascii="Verdana" w:hAnsi="Verdana"/>
          <w:bCs/>
          <w:sz w:val="24"/>
          <w:szCs w:val="24"/>
        </w:rPr>
        <w:t xml:space="preserve"> familial n’ont pas démarré en 2025.</w:t>
      </w:r>
    </w:p>
    <w:p>
      <w:pPr>
        <w:pStyle w:val="style0"/>
        <w:spacing w:after="0" w:lineRule="auto" w:line="259"/>
        <w:rPr>
          <w:rFonts w:ascii="Verdana" w:hAnsi="Verdana"/>
          <w:bCs/>
          <w:sz w:val="20"/>
          <w:szCs w:val="20"/>
        </w:rPr>
      </w:pPr>
      <w:r>
        <w:rPr>
          <w:rFonts w:ascii="Aptos" w:hAnsi="Aptos"/>
          <w:b/>
          <w:sz w:val="20"/>
          <w:szCs w:val="20"/>
          <w:u w:val="single"/>
        </w:rPr>
        <w:t xml:space="preserve">Tableau </w:t>
      </w:r>
      <w:r>
        <w:rPr>
          <w:rFonts w:ascii="Aptos" w:hAnsi="Aptos"/>
          <w:b/>
          <w:sz w:val="20"/>
          <w:szCs w:val="20"/>
          <w:u w:val="single"/>
        </w:rPr>
        <w:t>5</w:t>
      </w:r>
      <w:r>
        <w:rPr>
          <w:rFonts w:ascii="Aptos" w:hAnsi="Aptos"/>
          <w:bCs/>
          <w:sz w:val="20"/>
          <w:szCs w:val="20"/>
        </w:rPr>
        <w:t xml:space="preserve"> :</w:t>
      </w:r>
      <w:r>
        <w:rPr>
          <w:rFonts w:ascii="Aptos" w:hAnsi="Aptos"/>
          <w:bCs/>
          <w:sz w:val="20"/>
          <w:szCs w:val="20"/>
        </w:rPr>
        <w:t xml:space="preserve"> quelques</w:t>
      </w:r>
      <w:r>
        <w:rPr>
          <w:rFonts w:ascii="Aptos" w:hAnsi="Aptos"/>
          <w:bCs/>
          <w:sz w:val="20"/>
          <w:szCs w:val="20"/>
        </w:rPr>
        <w:t xml:space="preserve"> indicateurs </w:t>
      </w:r>
      <w:r>
        <w:rPr>
          <w:rFonts w:ascii="Aptos" w:hAnsi="Aptos"/>
          <w:bCs/>
          <w:sz w:val="20"/>
          <w:szCs w:val="20"/>
        </w:rPr>
        <w:t xml:space="preserve">par mois, </w:t>
      </w:r>
      <w:r>
        <w:rPr>
          <w:rFonts w:ascii="Aptos" w:hAnsi="Aptos"/>
          <w:bCs/>
          <w:sz w:val="20"/>
          <w:szCs w:val="20"/>
        </w:rPr>
        <w:t xml:space="preserve">de </w:t>
      </w:r>
      <w:r>
        <w:rPr>
          <w:rFonts w:ascii="Aptos" w:hAnsi="Aptos"/>
          <w:bCs/>
          <w:sz w:val="20"/>
          <w:szCs w:val="20"/>
        </w:rPr>
        <w:t xml:space="preserve">la </w:t>
      </w:r>
      <w:r>
        <w:rPr>
          <w:rFonts w:ascii="Aptos" w:hAnsi="Aptos"/>
          <w:bCs/>
          <w:sz w:val="20"/>
          <w:szCs w:val="20"/>
        </w:rPr>
        <w:t>PEC</w:t>
      </w:r>
      <w:r>
        <w:rPr>
          <w:rFonts w:ascii="Aptos" w:hAnsi="Aptos"/>
          <w:bCs/>
          <w:sz w:val="20"/>
          <w:szCs w:val="20"/>
        </w:rPr>
        <w:t xml:space="preserve"> de la femme enceinte</w:t>
      </w:r>
      <w:r>
        <w:rPr>
          <w:rFonts w:ascii="Aptos" w:hAnsi="Aptos"/>
          <w:bCs/>
          <w:sz w:val="20"/>
          <w:szCs w:val="20"/>
        </w:rPr>
        <w:t xml:space="preserve"> </w:t>
      </w:r>
      <w:r>
        <w:rPr>
          <w:rFonts w:ascii="Aptos" w:hAnsi="Aptos"/>
          <w:bCs/>
          <w:sz w:val="20"/>
          <w:szCs w:val="20"/>
        </w:rPr>
        <w:t xml:space="preserve">au CHRM </w:t>
      </w:r>
      <w:r>
        <w:rPr>
          <w:rFonts w:ascii="Aptos" w:hAnsi="Aptos"/>
          <w:bCs/>
          <w:sz w:val="20"/>
          <w:szCs w:val="20"/>
        </w:rPr>
        <w:t>en</w:t>
      </w:r>
      <w:r>
        <w:rPr>
          <w:rFonts w:ascii="Verdana" w:hAnsi="Verdana"/>
          <w:bCs/>
          <w:sz w:val="20"/>
          <w:szCs w:val="20"/>
        </w:rPr>
        <w:t xml:space="preserve"> 202</w:t>
      </w:r>
      <w:r>
        <w:rPr>
          <w:rFonts w:ascii="Verdana" w:hAnsi="Verdana"/>
          <w:bCs/>
          <w:sz w:val="20"/>
          <w:szCs w:val="20"/>
        </w:rPr>
        <w:t>5</w:t>
      </w:r>
    </w:p>
    <w:tbl>
      <w:tblPr>
        <w:tblW w:w="9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3"/>
        <w:gridCol w:w="540"/>
        <w:gridCol w:w="460"/>
        <w:gridCol w:w="628"/>
        <w:gridCol w:w="610"/>
        <w:gridCol w:w="493"/>
        <w:gridCol w:w="558"/>
        <w:gridCol w:w="464"/>
        <w:gridCol w:w="614"/>
        <w:gridCol w:w="575"/>
        <w:gridCol w:w="481"/>
        <w:gridCol w:w="533"/>
        <w:gridCol w:w="520"/>
        <w:gridCol w:w="651"/>
      </w:tblGrid>
      <w:tr>
        <w:trPr>
          <w:trHeight w:val="465" w:hRule="atLeast"/>
        </w:trPr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  <w:t>Indicateur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  <w:t xml:space="preserve">Jan 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  <w:t>fév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  <w:t>Mars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  <w:t>Avril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  <w:t>Mai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  <w:t>Juin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  <w:t>juil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  <w:t>Août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  <w:t>sept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  <w:t>Oct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  <w:t>Nov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  <w:t>Déc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  <w:t>Total</w:t>
            </w:r>
          </w:p>
        </w:tc>
      </w:tr>
      <w:tr>
        <w:tblPrEx/>
        <w:trPr>
          <w:trHeight w:val="480" w:hRule="atLeast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 xml:space="preserve"> Nombre de FEC de moins de 15 ans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0</w:t>
            </w:r>
          </w:p>
        </w:tc>
      </w:tr>
      <w:tr>
        <w:tblPrEx/>
        <w:trPr>
          <w:trHeight w:val="480" w:hRule="atLeast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Nombres de FEC enregistrés</w:t>
            </w: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 xml:space="preserve"> en CPN1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4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9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20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20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7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11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14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14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29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150</w:t>
            </w:r>
          </w:p>
        </w:tc>
      </w:tr>
      <w:tr>
        <w:tblPrEx/>
        <w:trPr>
          <w:trHeight w:val="525" w:hRule="atLeast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 xml:space="preserve">Nombre de FEC </w:t>
            </w: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ayant eu</w:t>
            </w: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 xml:space="preserve"> </w:t>
            </w: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leur CPN</w:t>
            </w: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1 avant 16 semaines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4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9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20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20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7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11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14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14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29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150</w:t>
            </w:r>
          </w:p>
        </w:tc>
      </w:tr>
      <w:tr>
        <w:tblPrEx/>
        <w:trPr>
          <w:trHeight w:val="480" w:hRule="atLeast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Nombres de FEC reçus</w:t>
            </w: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 xml:space="preserve"> en CPN 4 et +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3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16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25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14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18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27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15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17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18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184</w:t>
            </w:r>
          </w:p>
        </w:tc>
      </w:tr>
      <w:tr>
        <w:tblPrEx/>
        <w:trPr>
          <w:trHeight w:val="720" w:hRule="atLeast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Nombre de</w:t>
            </w: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 xml:space="preserve"> cas de syphilis diagnostiqués chez les FEC en CPN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/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/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/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/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/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/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/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/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/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/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/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/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/</w:t>
            </w:r>
          </w:p>
        </w:tc>
      </w:tr>
      <w:tr>
        <w:tblPrEx/>
        <w:trPr>
          <w:trHeight w:val="900" w:hRule="atLeast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Nombre de FEC ayant effectué leur 1</w:t>
            </w: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er test</w:t>
            </w: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 xml:space="preserve"> VIH et dépistées positives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0</w:t>
            </w:r>
          </w:p>
        </w:tc>
      </w:tr>
      <w:tr>
        <w:tblPrEx/>
        <w:trPr>
          <w:trHeight w:val="1125" w:hRule="atLeast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Nombre de femmes VIH+ ayant accouché dans la formation sanitaire au cours de l'année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1</w:t>
            </w:r>
          </w:p>
        </w:tc>
      </w:tr>
      <w:tr>
        <w:tblPrEx/>
        <w:trPr>
          <w:trHeight w:val="675" w:hRule="atLeast"/>
        </w:trPr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 xml:space="preserve">Nombre d’enfants nés de mères VIH+ dans la FOSA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1</w:t>
            </w:r>
          </w:p>
        </w:tc>
      </w:tr>
      <w:tr>
        <w:tblPrEx/>
        <w:trPr>
          <w:trHeight w:val="1140" w:hRule="atLeast"/>
        </w:trPr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 xml:space="preserve">Nombre de femmes qui ont débuté une méthode de planning familial en post partum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18"/>
                <w:szCs w:val="18"/>
                <w:lang w:eastAsia="fr-CM"/>
              </w:rPr>
              <w:t>0</w:t>
            </w:r>
          </w:p>
        </w:tc>
      </w:tr>
    </w:tbl>
    <w:p>
      <w:pPr>
        <w:pStyle w:val="style0"/>
        <w:spacing w:after="160" w:lineRule="auto" w:line="259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Les consultations post-natales restent encore à </w:t>
      </w:r>
      <w:r>
        <w:rPr>
          <w:rFonts w:ascii="Verdana" w:hAnsi="Verdana"/>
          <w:sz w:val="24"/>
          <w:szCs w:val="24"/>
        </w:rPr>
        <w:t>être bien</w:t>
      </w:r>
      <w:r>
        <w:rPr>
          <w:rFonts w:ascii="Verdana" w:hAnsi="Verdana"/>
          <w:sz w:val="24"/>
          <w:szCs w:val="24"/>
        </w:rPr>
        <w:t xml:space="preserve"> organisées.</w:t>
      </w:r>
    </w:p>
    <w:bookmarkStart w:id="34" w:name="_Toc225355695"/>
    <w:p>
      <w:pPr>
        <w:pStyle w:val="style3"/>
        <w:rPr/>
      </w:pPr>
      <w:r>
        <w:t>Accouchements et autres activités de la maternité</w:t>
      </w:r>
      <w:bookmarkEnd w:id="34"/>
      <w:r>
        <w:t xml:space="preserve"> </w:t>
      </w:r>
    </w:p>
    <w:p>
      <w:pPr>
        <w:pStyle w:val="style179"/>
        <w:numPr>
          <w:ilvl w:val="0"/>
          <w:numId w:val="8"/>
        </w:numPr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L</w:t>
      </w:r>
      <w:r>
        <w:rPr>
          <w:rFonts w:ascii="Verdana" w:hAnsi="Verdana"/>
          <w:bCs/>
          <w:sz w:val="24"/>
          <w:szCs w:val="24"/>
        </w:rPr>
        <w:t xml:space="preserve">e CHR </w:t>
      </w:r>
      <w:r>
        <w:rPr>
          <w:rFonts w:ascii="Verdana" w:hAnsi="Verdana"/>
          <w:bCs/>
          <w:sz w:val="24"/>
          <w:szCs w:val="24"/>
        </w:rPr>
        <w:t>de Maroua a enregistré en 202</w:t>
      </w:r>
      <w:r>
        <w:rPr>
          <w:rFonts w:ascii="Verdana" w:hAnsi="Verdana"/>
          <w:bCs/>
          <w:sz w:val="24"/>
          <w:szCs w:val="24"/>
        </w:rPr>
        <w:t>5</w:t>
      </w:r>
      <w:r>
        <w:rPr>
          <w:rFonts w:ascii="Verdana" w:hAnsi="Verdana"/>
          <w:bCs/>
          <w:sz w:val="24"/>
          <w:szCs w:val="24"/>
        </w:rPr>
        <w:t xml:space="preserve"> un total de </w:t>
      </w:r>
      <w:r>
        <w:rPr>
          <w:rFonts w:ascii="Verdana" w:hAnsi="Verdana"/>
          <w:bCs/>
          <w:sz w:val="24"/>
          <w:szCs w:val="24"/>
        </w:rPr>
        <w:t>112</w:t>
      </w:r>
      <w:r>
        <w:rPr>
          <w:rFonts w:ascii="Verdana" w:hAnsi="Verdana"/>
          <w:bCs/>
          <w:sz w:val="24"/>
          <w:szCs w:val="24"/>
        </w:rPr>
        <w:t xml:space="preserve"> </w:t>
      </w:r>
      <w:r>
        <w:rPr>
          <w:rFonts w:ascii="Verdana" w:hAnsi="Verdana"/>
          <w:bCs/>
          <w:sz w:val="24"/>
          <w:szCs w:val="24"/>
        </w:rPr>
        <w:t xml:space="preserve">accouchements (soit une moyenne de </w:t>
      </w:r>
      <w:r>
        <w:rPr>
          <w:rFonts w:ascii="Verdana" w:hAnsi="Verdana"/>
          <w:bCs/>
          <w:sz w:val="24"/>
          <w:szCs w:val="24"/>
        </w:rPr>
        <w:t>0</w:t>
      </w:r>
      <w:r>
        <w:rPr>
          <w:rFonts w:ascii="Verdana" w:hAnsi="Verdana"/>
          <w:bCs/>
          <w:sz w:val="24"/>
          <w:szCs w:val="24"/>
        </w:rPr>
        <w:t>9</w:t>
      </w:r>
      <w:r>
        <w:rPr>
          <w:rFonts w:ascii="Verdana" w:hAnsi="Verdana"/>
          <w:bCs/>
          <w:sz w:val="24"/>
          <w:szCs w:val="24"/>
        </w:rPr>
        <w:t xml:space="preserve"> accouchements</w:t>
      </w:r>
      <w:r>
        <w:rPr>
          <w:rFonts w:ascii="Verdana" w:hAnsi="Verdana"/>
          <w:bCs/>
          <w:sz w:val="24"/>
          <w:szCs w:val="24"/>
        </w:rPr>
        <w:t xml:space="preserve"> par mois</w:t>
      </w:r>
      <w:r>
        <w:rPr>
          <w:rFonts w:ascii="Verdana" w:hAnsi="Verdana"/>
          <w:bCs/>
          <w:sz w:val="24"/>
          <w:szCs w:val="24"/>
        </w:rPr>
        <w:t>)</w:t>
      </w:r>
      <w:r>
        <w:rPr>
          <w:rFonts w:ascii="Verdana" w:hAnsi="Verdana"/>
          <w:bCs/>
          <w:sz w:val="24"/>
          <w:szCs w:val="24"/>
        </w:rPr>
        <w:t>;</w:t>
      </w:r>
    </w:p>
    <w:p>
      <w:pPr>
        <w:pStyle w:val="style179"/>
        <w:numPr>
          <w:ilvl w:val="0"/>
          <w:numId w:val="8"/>
        </w:numPr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40</w:t>
      </w:r>
      <w:r>
        <w:rPr>
          <w:rFonts w:ascii="Verdana" w:hAnsi="Verdana"/>
          <w:bCs/>
          <w:sz w:val="24"/>
          <w:szCs w:val="24"/>
        </w:rPr>
        <w:t xml:space="preserve"> césariennes (3</w:t>
      </w:r>
      <w:r>
        <w:rPr>
          <w:rFonts w:ascii="Verdana" w:hAnsi="Verdana"/>
          <w:bCs/>
          <w:sz w:val="24"/>
          <w:szCs w:val="24"/>
        </w:rPr>
        <w:t>5</w:t>
      </w:r>
      <w:r>
        <w:rPr>
          <w:rFonts w:ascii="Verdana" w:hAnsi="Verdana"/>
          <w:bCs/>
          <w:sz w:val="24"/>
          <w:szCs w:val="24"/>
        </w:rPr>
        <w:t>,</w:t>
      </w:r>
      <w:r>
        <w:rPr>
          <w:rFonts w:ascii="Verdana" w:hAnsi="Verdana"/>
          <w:bCs/>
          <w:sz w:val="24"/>
          <w:szCs w:val="24"/>
        </w:rPr>
        <w:t>7</w:t>
      </w:r>
      <w:r>
        <w:rPr>
          <w:rFonts w:ascii="Verdana" w:hAnsi="Verdana"/>
          <w:bCs/>
          <w:sz w:val="24"/>
          <w:szCs w:val="24"/>
        </w:rPr>
        <w:t xml:space="preserve">%) et </w:t>
      </w:r>
      <w:r>
        <w:rPr>
          <w:rFonts w:ascii="Verdana" w:hAnsi="Verdana"/>
          <w:bCs/>
          <w:sz w:val="24"/>
          <w:szCs w:val="24"/>
        </w:rPr>
        <w:t>03</w:t>
      </w:r>
      <w:r>
        <w:rPr>
          <w:rFonts w:ascii="Verdana" w:hAnsi="Verdana"/>
          <w:bCs/>
          <w:sz w:val="24"/>
          <w:szCs w:val="24"/>
        </w:rPr>
        <w:t xml:space="preserve"> prématurés (</w:t>
      </w:r>
      <w:r>
        <w:rPr>
          <w:rFonts w:ascii="Verdana" w:hAnsi="Verdana"/>
          <w:bCs/>
          <w:sz w:val="24"/>
          <w:szCs w:val="24"/>
        </w:rPr>
        <w:t>3</w:t>
      </w:r>
      <w:r>
        <w:rPr>
          <w:rFonts w:ascii="Verdana" w:hAnsi="Verdana"/>
          <w:bCs/>
          <w:sz w:val="24"/>
          <w:szCs w:val="24"/>
        </w:rPr>
        <w:t>,</w:t>
      </w:r>
      <w:r>
        <w:rPr>
          <w:rFonts w:ascii="Verdana" w:hAnsi="Verdana"/>
          <w:bCs/>
          <w:sz w:val="24"/>
          <w:szCs w:val="24"/>
        </w:rPr>
        <w:t>0</w:t>
      </w:r>
      <w:r>
        <w:rPr>
          <w:rFonts w:ascii="Verdana" w:hAnsi="Verdana"/>
          <w:bCs/>
          <w:sz w:val="24"/>
          <w:szCs w:val="24"/>
        </w:rPr>
        <w:t>%) ;</w:t>
      </w:r>
    </w:p>
    <w:p>
      <w:pPr>
        <w:pStyle w:val="style179"/>
        <w:numPr>
          <w:ilvl w:val="0"/>
          <w:numId w:val="8"/>
        </w:numPr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02 mort-nés macérés ont</w:t>
      </w:r>
      <w:r>
        <w:rPr>
          <w:rFonts w:ascii="Verdana" w:hAnsi="Verdana"/>
          <w:bCs/>
          <w:sz w:val="24"/>
          <w:szCs w:val="24"/>
        </w:rPr>
        <w:t xml:space="preserve"> été enregistré</w:t>
      </w:r>
      <w:r>
        <w:rPr>
          <w:rFonts w:ascii="Verdana" w:hAnsi="Verdana"/>
          <w:bCs/>
          <w:sz w:val="24"/>
          <w:szCs w:val="24"/>
        </w:rPr>
        <w:t>s</w:t>
      </w:r>
      <w:r>
        <w:rPr>
          <w:rFonts w:ascii="Verdana" w:hAnsi="Verdana"/>
          <w:bCs/>
          <w:sz w:val="24"/>
          <w:szCs w:val="24"/>
        </w:rPr>
        <w:t> ;</w:t>
      </w:r>
    </w:p>
    <w:p>
      <w:pPr>
        <w:pStyle w:val="style0"/>
        <w:jc w:val="both"/>
        <w:rPr>
          <w:rFonts w:ascii="Verdana" w:hAnsi="Verdana"/>
          <w:b/>
          <w:highlight w:val="yellow"/>
          <w:u w:val="single"/>
        </w:rPr>
      </w:pPr>
    </w:p>
    <w:p>
      <w:pPr>
        <w:pStyle w:val="style0"/>
        <w:jc w:val="both"/>
        <w:rPr>
          <w:rFonts w:ascii="Verdana" w:hAnsi="Verdana"/>
          <w:b/>
          <w:highlight w:val="yellow"/>
          <w:u w:val="single"/>
        </w:rPr>
      </w:pPr>
    </w:p>
    <w:p>
      <w:pPr>
        <w:pStyle w:val="style0"/>
        <w:jc w:val="both"/>
        <w:rPr>
          <w:rFonts w:ascii="Verdana" w:hAnsi="Verdana"/>
          <w:b/>
          <w:highlight w:val="yellow"/>
          <w:u w:val="single"/>
        </w:rPr>
      </w:pPr>
    </w:p>
    <w:p>
      <w:pPr>
        <w:pStyle w:val="style0"/>
        <w:spacing w:after="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Tableau </w:t>
      </w:r>
      <w:r>
        <w:rPr>
          <w:rFonts w:ascii="Verdana" w:hAnsi="Verdana"/>
          <w:b/>
          <w:sz w:val="20"/>
          <w:szCs w:val="20"/>
          <w:u w:val="single"/>
        </w:rPr>
        <w:t>6</w:t>
      </w:r>
      <w:r>
        <w:rPr>
          <w:rFonts w:ascii="Verdana" w:hAnsi="Verdana"/>
          <w:bCs/>
          <w:sz w:val="20"/>
          <w:szCs w:val="20"/>
        </w:rPr>
        <w:t xml:space="preserve">. Distribution par mois des accouchements enregistrés </w:t>
      </w:r>
      <w:r>
        <w:rPr>
          <w:rFonts w:ascii="Verdana" w:hAnsi="Verdana"/>
          <w:bCs/>
          <w:sz w:val="20"/>
          <w:szCs w:val="20"/>
        </w:rPr>
        <w:t>au CHRM</w:t>
      </w:r>
      <w:r>
        <w:rPr>
          <w:rFonts w:ascii="Verdana" w:hAnsi="Verdana"/>
          <w:bCs/>
          <w:sz w:val="20"/>
          <w:szCs w:val="20"/>
        </w:rPr>
        <w:t xml:space="preserve"> en 202</w:t>
      </w:r>
      <w:r>
        <w:rPr>
          <w:rFonts w:ascii="Verdana" w:hAnsi="Verdana"/>
          <w:bCs/>
          <w:sz w:val="20"/>
          <w:szCs w:val="20"/>
        </w:rPr>
        <w:t>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7"/>
        <w:gridCol w:w="480"/>
        <w:gridCol w:w="495"/>
        <w:gridCol w:w="622"/>
        <w:gridCol w:w="593"/>
        <w:gridCol w:w="486"/>
        <w:gridCol w:w="540"/>
        <w:gridCol w:w="469"/>
        <w:gridCol w:w="606"/>
        <w:gridCol w:w="602"/>
        <w:gridCol w:w="482"/>
        <w:gridCol w:w="531"/>
        <w:gridCol w:w="520"/>
        <w:gridCol w:w="869"/>
      </w:tblGrid>
      <w:tr>
        <w:trPr>
          <w:trHeight w:val="141" w:hRule="atLeast"/>
        </w:trPr>
        <w:tc>
          <w:tcPr>
            <w:tcW w:w="9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  <w:t>Indicateurs</w:t>
            </w:r>
          </w:p>
        </w:tc>
        <w:tc>
          <w:tcPr>
            <w:tcW w:w="4026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  <w:t>2025</w:t>
            </w:r>
          </w:p>
        </w:tc>
      </w:tr>
      <w:tr>
        <w:tblPrEx/>
        <w:trPr>
          <w:trHeight w:val="94" w:hRule="atLeast"/>
        </w:trPr>
        <w:tc>
          <w:tcPr>
            <w:tcW w:w="974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ffffff"/>
                <w:sz w:val="20"/>
                <w:szCs w:val="20"/>
                <w:lang w:eastAsia="fr-CM"/>
              </w:rPr>
              <w:t>Jan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ffffff"/>
                <w:sz w:val="20"/>
                <w:szCs w:val="20"/>
                <w:lang w:eastAsia="fr-CM"/>
              </w:rPr>
              <w:t>Fév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ffffff"/>
                <w:sz w:val="20"/>
                <w:szCs w:val="20"/>
                <w:lang w:eastAsia="fr-CM"/>
              </w:rPr>
              <w:t>Mars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ffffff"/>
                <w:sz w:val="20"/>
                <w:szCs w:val="20"/>
                <w:lang w:eastAsia="fr-CM"/>
              </w:rPr>
              <w:t>Avril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ffffff"/>
                <w:sz w:val="20"/>
                <w:szCs w:val="20"/>
                <w:lang w:eastAsia="fr-CM"/>
              </w:rPr>
              <w:t>Mai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ffffff"/>
                <w:sz w:val="20"/>
                <w:szCs w:val="20"/>
                <w:lang w:eastAsia="fr-CM"/>
              </w:rPr>
              <w:t>Juin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ffffff"/>
                <w:sz w:val="20"/>
                <w:szCs w:val="20"/>
                <w:lang w:eastAsia="fr-CM"/>
              </w:rPr>
              <w:t>Juil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ffffff"/>
                <w:sz w:val="20"/>
                <w:szCs w:val="20"/>
                <w:lang w:eastAsia="fr-CM"/>
              </w:rPr>
              <w:t>Août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ffffff"/>
                <w:sz w:val="20"/>
                <w:szCs w:val="20"/>
                <w:lang w:eastAsia="fr-CM"/>
              </w:rPr>
              <w:t>Sept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ffffff"/>
                <w:sz w:val="20"/>
                <w:szCs w:val="20"/>
                <w:lang w:eastAsia="fr-CM"/>
              </w:rPr>
              <w:t>Oct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ffffff"/>
                <w:sz w:val="20"/>
                <w:szCs w:val="20"/>
                <w:lang w:eastAsia="fr-CM"/>
              </w:rPr>
              <w:t>Nov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ffffff"/>
                <w:sz w:val="20"/>
                <w:szCs w:val="20"/>
                <w:lang w:eastAsia="fr-CM"/>
              </w:rPr>
              <w:t>Déc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7030a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  <w:t xml:space="preserve">TOTAL </w:t>
            </w:r>
          </w:p>
        </w:tc>
      </w:tr>
      <w:tr>
        <w:tblPrEx/>
        <w:trPr>
          <w:trHeight w:val="91" w:hRule="atLeast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Accouchements par voie basse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11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9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6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7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14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72</w:t>
            </w:r>
          </w:p>
        </w:tc>
      </w:tr>
      <w:tr>
        <w:tblPrEx/>
        <w:trPr>
          <w:trHeight w:val="510" w:hRule="atLeast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Accouchements par césarienne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6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5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5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40</w:t>
            </w:r>
          </w:p>
        </w:tc>
      </w:tr>
      <w:tr>
        <w:tblPrEx/>
        <w:trPr>
          <w:trHeight w:val="510" w:hRule="atLeast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TOTAL accouchement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  <w:t>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  <w:t>5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  <w:t>16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  <w:t>15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  <w:t>6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  <w:t>9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  <w:t>8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  <w:t>13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  <w:t>4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  <w:t>12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  <w:t>16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112</w:t>
            </w:r>
          </w:p>
        </w:tc>
      </w:tr>
      <w:tr>
        <w:tblPrEx/>
        <w:trPr>
          <w:trHeight w:val="53" w:hRule="atLeast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Prématurés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3</w:t>
            </w:r>
          </w:p>
        </w:tc>
      </w:tr>
      <w:tr>
        <w:tblPrEx/>
        <w:trPr>
          <w:trHeight w:val="53" w:hRule="atLeast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Avortements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13</w:t>
            </w:r>
          </w:p>
        </w:tc>
      </w:tr>
      <w:tr>
        <w:tblPrEx/>
        <w:trPr>
          <w:trHeight w:val="53" w:hRule="atLeast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Mort-né</w:t>
            </w: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 xml:space="preserve"> frais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</w:tr>
      <w:tr>
        <w:tblPrEx/>
        <w:trPr>
          <w:trHeight w:val="360" w:hRule="atLeast"/>
        </w:trPr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Mort-né</w:t>
            </w: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 xml:space="preserve"> ma</w:t>
            </w: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céré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2</w:t>
            </w:r>
          </w:p>
        </w:tc>
      </w:tr>
      <w:tr>
        <w:tblPrEx/>
        <w:trPr>
          <w:trHeight w:val="375" w:hRule="atLeast"/>
        </w:trPr>
        <w:tc>
          <w:tcPr>
            <w:tcW w:w="97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 xml:space="preserve">TOTAL </w:t>
            </w: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Mort-né</w:t>
            </w:r>
          </w:p>
        </w:tc>
        <w:tc>
          <w:tcPr>
            <w:tcW w:w="2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9d08e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9d08e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9d08e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9d08e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9d08e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9d08e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9d08e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9d08e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9d08e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9d08e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9d08e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9d08e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a9d08e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2</w:t>
            </w:r>
          </w:p>
        </w:tc>
      </w:tr>
    </w:tbl>
    <w:p>
      <w:pPr>
        <w:pStyle w:val="style0"/>
        <w:tabs>
          <w:tab w:val="left" w:leader="none" w:pos="1828"/>
        </w:tabs>
        <w:spacing w:after="0"/>
        <w:jc w:val="both"/>
        <w:rPr>
          <w:rFonts w:ascii="Verdana" w:hAnsi="Verdana"/>
          <w:b/>
          <w:bCs/>
          <w:sz w:val="28"/>
          <w:szCs w:val="28"/>
          <w:highlight w:val="yellow"/>
          <w:u w:val="single"/>
        </w:rPr>
      </w:pPr>
    </w:p>
    <w:p>
      <w:pPr>
        <w:pStyle w:val="style0"/>
        <w:tabs>
          <w:tab w:val="left" w:leader="none" w:pos="1828"/>
        </w:tabs>
        <w:spacing w:after="0"/>
        <w:jc w:val="both"/>
        <w:rPr>
          <w:rFonts w:ascii="Verdana" w:hAnsi="Verdana"/>
          <w:b/>
          <w:bCs/>
          <w:sz w:val="28"/>
          <w:szCs w:val="28"/>
          <w:highlight w:val="yellow"/>
          <w:u w:val="single"/>
        </w:rPr>
      </w:pPr>
      <w:r>
        <w:rPr>
          <w:noProof/>
          <w:lang w:val="fr-FR"/>
        </w:rPr>
      </w:r>
      <w:r>
        <w:rPr>
          <w:noProof/>
          <w:lang w:val="fr-FR"/>
        </w:rPr>
      </w:r>
      <w:r>
        <w:rPr>
          <w:noProof/>
          <w:lang w:val="fr-FR"/>
        </w:rPr>
      </w:r>
      <w:r>
        <w:rPr>
          <w:noProof/>
          <w:lang w:val="fr-FR"/>
        </w:rPr>
        <w:drawing>
          <wp:inline distL="114300" distT="0" distB="0" distR="114300">
            <wp:extent cx="4297680" cy="1968754"/>
            <wp:effectExtent l="0" t="0" r="0" b="0"/>
            <wp:docPr id="105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>
        <w:rPr>
          <w:noProof/>
          <w:lang w:val="fr-FR"/>
        </w:rPr>
      </w:r>
    </w:p>
    <w:p>
      <w:pPr>
        <w:pStyle w:val="style0"/>
        <w:tabs>
          <w:tab w:val="left" w:leader="none" w:pos="1828"/>
        </w:tabs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>Courbe1</w:t>
      </w:r>
      <w:r>
        <w:rPr>
          <w:rFonts w:ascii="Verdana" w:hAnsi="Verdana"/>
          <w:sz w:val="20"/>
          <w:szCs w:val="20"/>
        </w:rPr>
        <w:t> :</w:t>
      </w:r>
      <w:r>
        <w:rPr>
          <w:rFonts w:ascii="Verdana" w:hAnsi="Verdana"/>
          <w:sz w:val="20"/>
          <w:szCs w:val="20"/>
        </w:rPr>
        <w:t xml:space="preserve"> évolution par mois des accouchements au CHRM en 2025</w:t>
      </w:r>
    </w:p>
    <w:p>
      <w:pPr>
        <w:pStyle w:val="style0"/>
        <w:tabs>
          <w:tab w:val="left" w:leader="none" w:pos="1828"/>
        </w:tabs>
        <w:spacing w:after="0"/>
        <w:jc w:val="both"/>
        <w:rPr>
          <w:rFonts w:ascii="Verdana" w:hAnsi="Verdana"/>
          <w:sz w:val="20"/>
          <w:szCs w:val="20"/>
          <w:u w:val="single"/>
        </w:rPr>
      </w:pPr>
    </w:p>
    <w:bookmarkStart w:id="35" w:name="_Toc225355696"/>
    <w:p>
      <w:pPr>
        <w:pStyle w:val="style3"/>
        <w:rPr/>
      </w:pPr>
      <w:r>
        <w:t>Les déclarations de naissance</w:t>
      </w:r>
      <w:bookmarkEnd w:id="35"/>
    </w:p>
    <w:bookmarkStart w:id="36" w:name="_Hlk222932280"/>
    <w:p>
      <w:pPr>
        <w:pStyle w:val="style0"/>
        <w:tabs>
          <w:tab w:val="left" w:leader="none" w:pos="2130"/>
        </w:tabs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>93,9% des enfants nés vivants au CHRM ont bénéficié d’une déclaration officielle par nos soins.</w:t>
      </w:r>
      <w:bookmarkEnd w:id="36"/>
    </w:p>
    <w:p>
      <w:pPr>
        <w:pStyle w:val="style0"/>
        <w:tabs>
          <w:tab w:val="left" w:leader="none" w:pos="1828"/>
        </w:tabs>
        <w:spacing w:after="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Tableau </w:t>
      </w:r>
      <w:r>
        <w:rPr>
          <w:rFonts w:ascii="Verdana" w:hAnsi="Verdana"/>
          <w:b/>
          <w:sz w:val="20"/>
          <w:szCs w:val="20"/>
          <w:u w:val="single"/>
        </w:rPr>
        <w:t>7</w:t>
      </w:r>
      <w:r>
        <w:rPr>
          <w:rFonts w:ascii="Verdana" w:hAnsi="Verdana"/>
          <w:bCs/>
          <w:sz w:val="20"/>
          <w:szCs w:val="20"/>
        </w:rPr>
        <w:t>:</w:t>
      </w:r>
      <w:r>
        <w:rPr>
          <w:rFonts w:ascii="Verdana" w:hAnsi="Verdana"/>
          <w:bCs/>
          <w:sz w:val="20"/>
          <w:szCs w:val="20"/>
        </w:rPr>
        <w:t xml:space="preserve"> Les déclarations de naissance </w:t>
      </w:r>
      <w:r>
        <w:rPr>
          <w:rFonts w:ascii="Verdana" w:hAnsi="Verdana"/>
          <w:bCs/>
          <w:sz w:val="20"/>
          <w:szCs w:val="20"/>
        </w:rPr>
        <w:t>au CHRM</w:t>
      </w:r>
      <w:r>
        <w:rPr>
          <w:rFonts w:ascii="Verdana" w:hAnsi="Verdana"/>
          <w:bCs/>
          <w:sz w:val="20"/>
          <w:szCs w:val="20"/>
        </w:rPr>
        <w:t xml:space="preserve"> au cours de l’année 202</w:t>
      </w:r>
      <w:r>
        <w:rPr>
          <w:rFonts w:ascii="Verdana" w:hAnsi="Verdana"/>
          <w:bCs/>
          <w:sz w:val="20"/>
          <w:szCs w:val="20"/>
        </w:rPr>
        <w:t>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8"/>
        <w:gridCol w:w="1711"/>
        <w:gridCol w:w="1589"/>
        <w:gridCol w:w="1076"/>
        <w:gridCol w:w="1796"/>
        <w:gridCol w:w="1112"/>
      </w:tblGrid>
      <w:tr>
        <w:trPr>
          <w:trHeight w:val="417" w:hRule="atLeast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  <w:t xml:space="preserve">Mois 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  <w:t xml:space="preserve">Masculin 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  <w:t>Féminin</w:t>
            </w:r>
            <w:r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  <w:t xml:space="preserve"> 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  <w:t xml:space="preserve">Total 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  <w:t xml:space="preserve">Nbre de naissance vivantes   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  <w:t>%</w:t>
            </w:r>
          </w:p>
        </w:tc>
      </w:tr>
      <w:tr>
        <w:tblPrEx/>
        <w:trPr>
          <w:trHeight w:val="63" w:hRule="atLeast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 xml:space="preserve">Janvier 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5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100,0</w:t>
            </w:r>
          </w:p>
        </w:tc>
      </w:tr>
      <w:tr>
        <w:tblPrEx/>
        <w:trPr>
          <w:trHeight w:val="63" w:hRule="atLeast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Février</w:t>
            </w: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 xml:space="preserve"> 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4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83,3</w:t>
            </w:r>
          </w:p>
        </w:tc>
      </w:tr>
      <w:tr>
        <w:tblPrEx/>
        <w:trPr>
          <w:trHeight w:val="63" w:hRule="atLeast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 xml:space="preserve">Mars 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100,0</w:t>
            </w:r>
          </w:p>
        </w:tc>
      </w:tr>
      <w:tr>
        <w:tblPrEx/>
        <w:trPr>
          <w:trHeight w:val="63" w:hRule="atLeast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Avril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7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17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88,2</w:t>
            </w:r>
          </w:p>
        </w:tc>
      </w:tr>
      <w:tr>
        <w:tblPrEx/>
        <w:trPr>
          <w:trHeight w:val="63" w:hRule="atLeast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Mai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13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100,0</w:t>
            </w:r>
          </w:p>
        </w:tc>
      </w:tr>
      <w:tr>
        <w:tblPrEx/>
        <w:trPr>
          <w:trHeight w:val="63" w:hRule="atLeast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 xml:space="preserve">Juin 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4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100,0</w:t>
            </w:r>
          </w:p>
        </w:tc>
      </w:tr>
      <w:tr>
        <w:tblPrEx/>
        <w:trPr>
          <w:trHeight w:val="63" w:hRule="atLeast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 xml:space="preserve">Juillet 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6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9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100,0</w:t>
            </w:r>
          </w:p>
        </w:tc>
      </w:tr>
      <w:tr>
        <w:tblPrEx/>
        <w:trPr>
          <w:trHeight w:val="63" w:hRule="atLeast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 xml:space="preserve">Août 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5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8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75,0</w:t>
            </w:r>
          </w:p>
        </w:tc>
      </w:tr>
      <w:tr>
        <w:tblPrEx/>
        <w:trPr>
          <w:trHeight w:val="63" w:hRule="atLeast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 xml:space="preserve">Septembre 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10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13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92,3</w:t>
            </w:r>
          </w:p>
        </w:tc>
      </w:tr>
      <w:tr>
        <w:tblPrEx/>
        <w:trPr>
          <w:trHeight w:val="63" w:hRule="atLeast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 xml:space="preserve">Octobre 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4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100,0</w:t>
            </w:r>
          </w:p>
        </w:tc>
      </w:tr>
      <w:tr>
        <w:tblPrEx/>
        <w:trPr>
          <w:trHeight w:val="63" w:hRule="atLeast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 xml:space="preserve">Novembre 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6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91,7</w:t>
            </w:r>
          </w:p>
        </w:tc>
      </w:tr>
      <w:tr>
        <w:tblPrEx/>
        <w:trPr>
          <w:trHeight w:val="55" w:hRule="atLeast"/>
        </w:trPr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Décembre</w:t>
            </w: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 xml:space="preserve"> 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9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6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100,0</w:t>
            </w:r>
          </w:p>
        </w:tc>
      </w:tr>
      <w:tr>
        <w:tblPrEx/>
        <w:trPr>
          <w:trHeight w:val="63" w:hRule="atLeast"/>
        </w:trPr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TOTAL</w:t>
            </w:r>
          </w:p>
        </w:tc>
        <w:tc>
          <w:tcPr>
            <w:tcW w:w="94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56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51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107</w:t>
            </w:r>
          </w:p>
        </w:tc>
        <w:tc>
          <w:tcPr>
            <w:tcW w:w="99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114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93,9</w:t>
            </w:r>
          </w:p>
        </w:tc>
      </w:tr>
    </w:tbl>
    <w:p>
      <w:pPr>
        <w:pStyle w:val="style0"/>
        <w:jc w:val="both"/>
        <w:rPr>
          <w:rFonts w:ascii="Verdana" w:hAnsi="Verdana"/>
          <w:b/>
          <w:bCs/>
          <w:sz w:val="28"/>
          <w:szCs w:val="28"/>
        </w:rPr>
      </w:pPr>
    </w:p>
    <w:bookmarkStart w:id="37" w:name="_Toc225355697"/>
    <w:p>
      <w:pPr>
        <w:pStyle w:val="style3"/>
        <w:rPr/>
      </w:pPr>
      <w:r>
        <w:t>Dépistage des cancers</w:t>
      </w:r>
      <w:bookmarkEnd w:id="37"/>
    </w:p>
    <w:p>
      <w:pPr>
        <w:pStyle w:val="style0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>A l’occasion d’</w:t>
      </w:r>
      <w:r>
        <w:rPr>
          <w:rFonts w:ascii="Verdana" w:hAnsi="Verdana"/>
          <w:b/>
        </w:rPr>
        <w:t xml:space="preserve">OCTOBRE ROSE, </w:t>
      </w:r>
      <w:r>
        <w:rPr>
          <w:rFonts w:ascii="Verdana" w:hAnsi="Verdana"/>
          <w:bCs/>
        </w:rPr>
        <w:t xml:space="preserve">mois dédié à la lutte contre le cancer du sein, le CHRM a organisé une campagne de dépistage des cancers du sein et du col de l’utérus. Au cours de celle-ci, 382 femmes ont été examiné pour le </w:t>
      </w:r>
      <w:r>
        <w:rPr>
          <w:rFonts w:ascii="Verdana" w:hAnsi="Verdana"/>
          <w:bCs/>
        </w:rPr>
        <w:t xml:space="preserve">sein </w:t>
      </w:r>
      <w:r>
        <w:rPr>
          <w:rFonts w:ascii="Verdana" w:hAnsi="Verdana"/>
          <w:bCs/>
        </w:rPr>
        <w:t>et 123 pour le col. 38 cas d’anomalies ont été détectés pour ce qui est du cancer du sein et 40 pour le col de l’utérus.</w:t>
      </w:r>
    </w:p>
    <w:bookmarkStart w:id="38" w:name="_Toc225355698"/>
    <w:p>
      <w:pPr>
        <w:pStyle w:val="style2"/>
        <w:rPr>
          <w:color w:val="00b050"/>
        </w:rPr>
      </w:pPr>
      <w:r>
        <w:rPr>
          <w:color w:val="00b050"/>
        </w:rPr>
        <w:t>Santé de l’enfant</w:t>
      </w:r>
      <w:bookmarkEnd w:id="38"/>
    </w:p>
    <w:p>
      <w:pPr>
        <w:pStyle w:val="style0"/>
        <w:spacing w:after="0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Les activités du Programme Elargi de Vaccination (PEV) ont </w:t>
      </w:r>
      <w:r>
        <w:rPr>
          <w:rFonts w:ascii="Verdana" w:hAnsi="Verdana"/>
          <w:bCs/>
        </w:rPr>
        <w:t>démarré</w:t>
      </w:r>
      <w:r>
        <w:rPr>
          <w:rFonts w:ascii="Verdana" w:hAnsi="Verdana"/>
          <w:bCs/>
        </w:rPr>
        <w:t xml:space="preserve"> au CHRM en juin 2025. </w:t>
      </w:r>
    </w:p>
    <w:p>
      <w:pPr>
        <w:pStyle w:val="style0"/>
        <w:spacing w:after="0"/>
        <w:jc w:val="both"/>
        <w:rPr>
          <w:rFonts w:ascii="Verdana" w:hAnsi="Verdana"/>
          <w:bCs/>
        </w:rPr>
      </w:pPr>
    </w:p>
    <w:p>
      <w:pPr>
        <w:pStyle w:val="style0"/>
        <w:spacing w:after="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 xml:space="preserve">Tableau </w:t>
      </w:r>
      <w:r>
        <w:rPr>
          <w:rFonts w:ascii="Verdana" w:hAnsi="Verdana"/>
          <w:b/>
          <w:sz w:val="20"/>
          <w:szCs w:val="20"/>
          <w:u w:val="single"/>
        </w:rPr>
        <w:t>8</w:t>
      </w:r>
      <w:r>
        <w:rPr>
          <w:rFonts w:ascii="Verdana" w:hAnsi="Verdana"/>
          <w:b/>
          <w:sz w:val="20"/>
          <w:szCs w:val="20"/>
        </w:rPr>
        <w:t xml:space="preserve">  </w:t>
      </w:r>
      <w:r>
        <w:rPr>
          <w:rFonts w:ascii="Verdana" w:hAnsi="Verdana"/>
          <w:bCs/>
          <w:sz w:val="20"/>
          <w:szCs w:val="20"/>
        </w:rPr>
        <w:t> :</w:t>
      </w:r>
      <w:r>
        <w:rPr>
          <w:rFonts w:ascii="Verdana" w:hAnsi="Verdana"/>
          <w:bCs/>
          <w:sz w:val="20"/>
          <w:szCs w:val="20"/>
        </w:rPr>
        <w:t xml:space="preserve"> </w:t>
      </w:r>
      <w:r>
        <w:rPr>
          <w:rFonts w:ascii="Verdana" w:hAnsi="Verdana"/>
          <w:bCs/>
          <w:sz w:val="20"/>
          <w:szCs w:val="20"/>
        </w:rPr>
        <w:t xml:space="preserve">Principaux indicateurs du PEV </w:t>
      </w:r>
      <w:r>
        <w:rPr>
          <w:rFonts w:ascii="Verdana" w:hAnsi="Verdana"/>
          <w:bCs/>
          <w:sz w:val="20"/>
          <w:szCs w:val="20"/>
        </w:rPr>
        <w:t>au CHRM en 2025</w:t>
      </w:r>
    </w:p>
    <w:tbl>
      <w:tblPr>
        <w:tblW w:w="10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1560"/>
        <w:gridCol w:w="1590"/>
        <w:gridCol w:w="1200"/>
      </w:tblGrid>
      <w:tr>
        <w:trPr>
          <w:trHeight w:val="86" w:hRule="atLeast"/>
        </w:trPr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5b9bd5" w:fill="227acb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ffffff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24"/>
                <w:szCs w:val="24"/>
                <w:lang w:eastAsia="fr-CM"/>
              </w:rPr>
              <w:t>Indicateurs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227acb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Calibri" w:cs="Calibri" w:eastAsia="Times New Roman" w:hAnsi="Calibri"/>
                <w:b/>
                <w:bCs/>
                <w:color w:val="ffffff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4"/>
                <w:szCs w:val="24"/>
                <w:lang w:eastAsia="fr-CM"/>
              </w:rPr>
              <w:t>0 à 11 mois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227acb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4"/>
                <w:szCs w:val="24"/>
                <w:lang w:eastAsia="fr-CM"/>
              </w:rPr>
              <w:t>12-59 mois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227acb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4"/>
                <w:szCs w:val="24"/>
                <w:lang w:eastAsia="fr-CM"/>
              </w:rPr>
              <w:t>TG</w:t>
            </w:r>
          </w:p>
        </w:tc>
      </w:tr>
      <w:tr>
        <w:tblPrEx/>
        <w:trPr>
          <w:trHeight w:val="48" w:hRule="atLeast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>Nombre d'enfants ayant reçu le vaccin BCG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57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57</w:t>
            </w:r>
          </w:p>
        </w:tc>
      </w:tr>
      <w:tr>
        <w:tblPrEx/>
        <w:trPr>
          <w:trHeight w:val="315" w:hRule="atLeast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>Nombre d'enfants ayant reçu le vaccin Hep B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2</w:t>
            </w:r>
          </w:p>
        </w:tc>
      </w:tr>
      <w:tr>
        <w:tblPrEx/>
        <w:trPr>
          <w:trHeight w:val="315" w:hRule="atLeast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>Nombre d'enfants ayant reçu le vaccin VPO0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52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52</w:t>
            </w:r>
          </w:p>
        </w:tc>
      </w:tr>
      <w:tr>
        <w:tblPrEx/>
        <w:trPr>
          <w:trHeight w:val="315" w:hRule="atLeast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>Nombre d'enfants ayant reçu le vaccin VPO1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57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57</w:t>
            </w:r>
          </w:p>
        </w:tc>
      </w:tr>
      <w:tr>
        <w:tblPrEx/>
        <w:trPr>
          <w:trHeight w:val="315" w:hRule="atLeast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>Nombre d'enfants ayant reçu le vaccin VPO2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51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51</w:t>
            </w:r>
          </w:p>
        </w:tc>
      </w:tr>
      <w:tr>
        <w:tblPrEx/>
        <w:trPr>
          <w:trHeight w:val="315" w:hRule="atLeast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>Nombre d'enfants ayant reçu le vaccin VPO3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29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29</w:t>
            </w:r>
          </w:p>
        </w:tc>
      </w:tr>
      <w:tr>
        <w:tblPrEx/>
        <w:trPr>
          <w:trHeight w:val="315" w:hRule="atLeast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>Nombre d'enfants ayant reçu le vaccin VPI 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37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37</w:t>
            </w:r>
          </w:p>
        </w:tc>
      </w:tr>
      <w:tr>
        <w:tblPrEx/>
        <w:trPr>
          <w:trHeight w:val="315" w:hRule="atLeast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>Nombre d'enfants ayant reçu le vaccin VPI 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5</w:t>
            </w:r>
          </w:p>
        </w:tc>
      </w:tr>
      <w:tr>
        <w:tblPrEx/>
        <w:trPr>
          <w:trHeight w:val="315" w:hRule="atLeast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>Nombre d'enfants ayant reçu Penta 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62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62</w:t>
            </w:r>
          </w:p>
        </w:tc>
      </w:tr>
      <w:tr>
        <w:tblPrEx/>
        <w:trPr>
          <w:trHeight w:val="315" w:hRule="atLeast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>Nombre d'enfants ayant reçu Penta 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54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54</w:t>
            </w:r>
          </w:p>
        </w:tc>
      </w:tr>
      <w:tr>
        <w:tblPrEx/>
        <w:trPr>
          <w:trHeight w:val="315" w:hRule="atLeast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>Nombre d'enfants ayant reçu Penta 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37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37</w:t>
            </w:r>
          </w:p>
        </w:tc>
      </w:tr>
      <w:tr>
        <w:tblPrEx/>
        <w:trPr>
          <w:trHeight w:val="315" w:hRule="atLeast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>Nombre d'enfants ayant reçu PCV-13-1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67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67</w:t>
            </w:r>
          </w:p>
        </w:tc>
      </w:tr>
      <w:tr>
        <w:tblPrEx/>
        <w:trPr>
          <w:trHeight w:val="315" w:hRule="atLeast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>Nombre d'enfants ayant reçu PCV-13-2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54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54</w:t>
            </w:r>
          </w:p>
        </w:tc>
      </w:tr>
      <w:tr>
        <w:tblPrEx/>
        <w:trPr>
          <w:trHeight w:val="315" w:hRule="atLeast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>Nombre d'enfants ayant reçu PCV-13-3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37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37</w:t>
            </w:r>
          </w:p>
        </w:tc>
      </w:tr>
      <w:tr>
        <w:tblPrEx/>
        <w:trPr>
          <w:trHeight w:val="315" w:hRule="atLeast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 xml:space="preserve">Nombre </w:t>
            </w: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>d’enfants ayant</w:t>
            </w: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 xml:space="preserve"> reçu le Rota 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67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67</w:t>
            </w:r>
          </w:p>
        </w:tc>
      </w:tr>
      <w:tr>
        <w:tblPrEx/>
        <w:trPr>
          <w:trHeight w:val="315" w:hRule="atLeast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 xml:space="preserve">Nombre </w:t>
            </w: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>d’enfants ayant</w:t>
            </w: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 xml:space="preserve"> reçu le Rota 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54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54</w:t>
            </w:r>
          </w:p>
        </w:tc>
      </w:tr>
      <w:tr>
        <w:tblPrEx/>
        <w:trPr>
          <w:trHeight w:val="315" w:hRule="atLeast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 xml:space="preserve">Nombre </w:t>
            </w: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>d’enfants ayant</w:t>
            </w: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 xml:space="preserve"> reçu le Rota 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37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37</w:t>
            </w:r>
          </w:p>
        </w:tc>
      </w:tr>
      <w:tr>
        <w:tblPrEx/>
        <w:trPr>
          <w:trHeight w:val="600" w:hRule="atLeast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 xml:space="preserve">Nombre </w:t>
            </w: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>d’enfants ayant</w:t>
            </w: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 xml:space="preserve"> reçu la 1</w:t>
            </w: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>ère dose</w:t>
            </w: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 xml:space="preserve"> de vaccin contre la Rougeole/Rubéole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9</w:t>
            </w:r>
          </w:p>
        </w:tc>
      </w:tr>
      <w:tr>
        <w:tblPrEx/>
        <w:trPr>
          <w:trHeight w:val="600" w:hRule="atLeast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 xml:space="preserve">Nombre </w:t>
            </w: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>d’enfants ayant</w:t>
            </w: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 xml:space="preserve"> reçu la 2</w:t>
            </w: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>ème dose</w:t>
            </w: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 xml:space="preserve"> de vaccin contre la Rougeole/Rubéole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4</w:t>
            </w:r>
          </w:p>
        </w:tc>
      </w:tr>
      <w:tr>
        <w:tblPrEx/>
        <w:trPr>
          <w:trHeight w:val="345" w:hRule="atLeast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 xml:space="preserve">Nombre </w:t>
            </w: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>d’enfants vaccinés</w:t>
            </w: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 xml:space="preserve"> contre la fièvre jaune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9</w:t>
            </w:r>
          </w:p>
        </w:tc>
      </w:tr>
      <w:tr>
        <w:tblPrEx/>
        <w:trPr>
          <w:trHeight w:val="315" w:hRule="atLeast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 xml:space="preserve">Nombre </w:t>
            </w: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>d’enfants vaccinés</w:t>
            </w: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 xml:space="preserve"> au MenA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0</w:t>
            </w:r>
          </w:p>
        </w:tc>
      </w:tr>
      <w:tr>
        <w:tblPrEx/>
        <w:trPr>
          <w:trHeight w:val="315" w:hRule="atLeast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 xml:space="preserve">Nombre d’enfants ayant </w:t>
            </w: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>reçu la</w:t>
            </w: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 xml:space="preserve"> Vitamine 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30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39</w:t>
            </w:r>
          </w:p>
        </w:tc>
      </w:tr>
      <w:tr>
        <w:tblPrEx/>
        <w:trPr>
          <w:trHeight w:val="600" w:hRule="atLeast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 xml:space="preserve">Nombre d’enfants ayant reçu une dose de Mebendazole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0</w:t>
            </w:r>
          </w:p>
        </w:tc>
      </w:tr>
      <w:tr>
        <w:tblPrEx/>
        <w:trPr>
          <w:trHeight w:val="330" w:hRule="atLeast"/>
        </w:trPr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dbdb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4"/>
                <w:szCs w:val="24"/>
                <w:lang w:eastAsia="fr-CM"/>
              </w:rPr>
              <w:t xml:space="preserve">Nombre d'enfants ayant </w:t>
            </w:r>
            <w:r>
              <w:rPr>
                <w:rFonts w:ascii="Verdana" w:cs="Calibri" w:eastAsia="Times New Roman" w:hAnsi="Verdana"/>
                <w:b/>
                <w:bCs/>
                <w:color w:val="000000"/>
                <w:sz w:val="24"/>
                <w:szCs w:val="24"/>
                <w:lang w:eastAsia="fr-CM"/>
              </w:rPr>
              <w:t>reçu</w:t>
            </w:r>
            <w:r>
              <w:rPr>
                <w:rFonts w:ascii="Verdana" w:cs="Calibri" w:eastAsia="Times New Roman" w:hAnsi="Verdana"/>
                <w:b/>
                <w:bCs/>
                <w:color w:val="000000"/>
                <w:sz w:val="24"/>
                <w:szCs w:val="24"/>
                <w:lang w:eastAsia="fr-CM"/>
              </w:rPr>
              <w:t xml:space="preserve"> le HPV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10</w:t>
            </w:r>
          </w:p>
        </w:tc>
      </w:tr>
    </w:tbl>
    <w:p>
      <w:pPr>
        <w:pStyle w:val="style0"/>
        <w:jc w:val="both"/>
        <w:rPr>
          <w:rFonts w:ascii="Verdana" w:cs="Arial" w:hAnsi="Verdana"/>
          <w:highlight w:val="yellow"/>
        </w:rPr>
      </w:pPr>
    </w:p>
    <w:p>
      <w:pPr>
        <w:pStyle w:val="style0"/>
        <w:jc w:val="both"/>
        <w:rPr>
          <w:rFonts w:ascii="Verdana" w:cs="Arial" w:hAnsi="Verdana"/>
          <w:sz w:val="18"/>
          <w:szCs w:val="18"/>
          <w:highlight w:val="yellow"/>
        </w:rPr>
      </w:pPr>
    </w:p>
    <w:p>
      <w:pPr>
        <w:pStyle w:val="style0"/>
        <w:jc w:val="both"/>
        <w:rPr>
          <w:rFonts w:ascii="Verdana" w:cs="Arial" w:hAnsi="Verdana"/>
          <w:sz w:val="18"/>
          <w:szCs w:val="18"/>
          <w:highlight w:val="yellow"/>
        </w:rPr>
      </w:pPr>
    </w:p>
    <w:p>
      <w:pPr>
        <w:pStyle w:val="style0"/>
        <w:jc w:val="both"/>
        <w:rPr>
          <w:rFonts w:ascii="Verdana" w:cs="Arial" w:hAnsi="Verdana"/>
          <w:sz w:val="18"/>
          <w:szCs w:val="18"/>
          <w:highlight w:val="yellow"/>
        </w:rPr>
      </w:pPr>
    </w:p>
    <w:p>
      <w:pPr>
        <w:pStyle w:val="style0"/>
        <w:jc w:val="both"/>
        <w:rPr>
          <w:rFonts w:ascii="Verdana" w:cs="Arial" w:hAnsi="Verdana"/>
          <w:sz w:val="18"/>
          <w:szCs w:val="18"/>
          <w:highlight w:val="yellow"/>
        </w:rPr>
      </w:pPr>
    </w:p>
    <w:p>
      <w:pPr>
        <w:pStyle w:val="style0"/>
        <w:jc w:val="both"/>
        <w:rPr>
          <w:rFonts w:ascii="Verdana" w:cs="Arial" w:hAnsi="Verdana"/>
          <w:sz w:val="18"/>
          <w:szCs w:val="18"/>
          <w:highlight w:val="yellow"/>
        </w:rPr>
      </w:pPr>
    </w:p>
    <w:p>
      <w:pPr>
        <w:pStyle w:val="style0"/>
        <w:jc w:val="both"/>
        <w:rPr>
          <w:rFonts w:ascii="Verdana" w:cs="Arial" w:hAnsi="Verdana"/>
          <w:sz w:val="18"/>
          <w:szCs w:val="18"/>
          <w:highlight w:val="yellow"/>
        </w:rPr>
      </w:pPr>
    </w:p>
    <w:p>
      <w:pPr>
        <w:pStyle w:val="style0"/>
        <w:jc w:val="both"/>
        <w:rPr>
          <w:rFonts w:ascii="Verdana" w:cs="Arial" w:hAnsi="Verdana"/>
          <w:sz w:val="18"/>
          <w:szCs w:val="18"/>
          <w:highlight w:val="yellow"/>
        </w:rPr>
      </w:pPr>
    </w:p>
    <w:p>
      <w:pPr>
        <w:pStyle w:val="style0"/>
        <w:jc w:val="both"/>
        <w:rPr>
          <w:rFonts w:ascii="Verdana" w:cs="Arial" w:hAnsi="Verdana"/>
          <w:b/>
          <w:highlight w:val="yellow"/>
        </w:rPr>
      </w:pPr>
    </w:p>
    <w:p>
      <w:pPr>
        <w:pStyle w:val="style0"/>
        <w:jc w:val="both"/>
        <w:rPr>
          <w:rFonts w:ascii="Verdana" w:cs="Arial" w:hAnsi="Verdana"/>
          <w:sz w:val="20"/>
          <w:szCs w:val="20"/>
          <w:highlight w:val="yellow"/>
          <w:lang w:eastAsia="en-US"/>
        </w:rPr>
      </w:pPr>
    </w:p>
    <w:p>
      <w:pPr>
        <w:pStyle w:val="style0"/>
        <w:jc w:val="both"/>
        <w:rPr>
          <w:rFonts w:ascii="Verdana" w:cs="Arial" w:hAnsi="Verdana"/>
          <w:sz w:val="20"/>
          <w:szCs w:val="20"/>
          <w:highlight w:val="yellow"/>
          <w:lang w:eastAsia="en-US"/>
        </w:rPr>
      </w:pPr>
    </w:p>
    <w:p>
      <w:pPr>
        <w:pStyle w:val="style0"/>
        <w:jc w:val="both"/>
        <w:rPr>
          <w:rFonts w:ascii="Verdana" w:cs="Arial" w:hAnsi="Verdana"/>
          <w:sz w:val="20"/>
          <w:szCs w:val="20"/>
          <w:highlight w:val="yellow"/>
          <w:lang w:eastAsia="en-US"/>
        </w:rPr>
      </w:pPr>
    </w:p>
    <w:p>
      <w:pPr>
        <w:pStyle w:val="style0"/>
        <w:jc w:val="both"/>
        <w:rPr>
          <w:rFonts w:ascii="Verdana" w:cs="Arial" w:hAnsi="Verdana"/>
          <w:sz w:val="20"/>
          <w:szCs w:val="20"/>
          <w:highlight w:val="yellow"/>
          <w:lang w:eastAsia="en-US"/>
        </w:rPr>
      </w:pPr>
    </w:p>
    <w:p>
      <w:pPr>
        <w:pStyle w:val="style0"/>
        <w:jc w:val="both"/>
        <w:rPr>
          <w:rFonts w:ascii="Verdana" w:cs="Arial" w:hAnsi="Verdana"/>
          <w:sz w:val="20"/>
          <w:szCs w:val="20"/>
          <w:highlight w:val="yellow"/>
          <w:lang w:eastAsia="en-US"/>
        </w:rPr>
      </w:pPr>
    </w:p>
    <w:p>
      <w:pPr>
        <w:pStyle w:val="style0"/>
        <w:jc w:val="both"/>
        <w:rPr>
          <w:rFonts w:ascii="Verdana" w:cs="Arial" w:hAnsi="Verdana"/>
          <w:sz w:val="20"/>
          <w:szCs w:val="20"/>
          <w:highlight w:val="yellow"/>
          <w:lang w:eastAsia="en-US"/>
        </w:rPr>
      </w:pPr>
    </w:p>
    <w:p>
      <w:pPr>
        <w:pStyle w:val="style0"/>
        <w:jc w:val="center"/>
        <w:rPr>
          <w:rFonts w:ascii="Verdana" w:cs="Arial" w:hAnsi="Verdana"/>
          <w:sz w:val="20"/>
          <w:szCs w:val="20"/>
          <w:lang w:eastAsia="en-US"/>
        </w:rPr>
      </w:pPr>
    </w:p>
    <w:bookmarkStart w:id="39" w:name="_Toc225355699"/>
    <w:p>
      <w:pPr>
        <w:pStyle w:val="style1"/>
        <w:jc w:val="center"/>
        <w:rPr/>
      </w:pPr>
      <w:r>
        <w:t xml:space="preserve">LUTTE CONTRE LA MALADIE </w:t>
      </w:r>
    </w:p>
    <w:p>
      <w:pPr>
        <w:pStyle w:val="style1"/>
        <w:numPr>
          <w:ilvl w:val="0"/>
          <w:numId w:val="0"/>
        </w:numPr>
        <w:ind w:left="2556" w:firstLine="276"/>
        <w:rPr/>
      </w:pPr>
      <w:r>
        <w:t>ET SOINS CURATIFS</w:t>
      </w:r>
      <w:bookmarkEnd w:id="39"/>
    </w:p>
    <w:p>
      <w:pPr>
        <w:pStyle w:val="style0"/>
        <w:jc w:val="both"/>
        <w:rPr>
          <w:rFonts w:ascii="Verdana" w:cs="Arial" w:hAnsi="Verdana"/>
          <w:sz w:val="20"/>
          <w:szCs w:val="20"/>
          <w:highlight w:val="yellow"/>
          <w:lang w:eastAsia="en-US"/>
        </w:rPr>
      </w:pPr>
    </w:p>
    <w:p>
      <w:pPr>
        <w:pStyle w:val="style0"/>
        <w:jc w:val="both"/>
        <w:rPr>
          <w:rFonts w:ascii="Verdana" w:cs="Arial" w:hAnsi="Verdana"/>
          <w:sz w:val="20"/>
          <w:szCs w:val="20"/>
          <w:highlight w:val="yellow"/>
          <w:lang w:eastAsia="en-US"/>
        </w:rPr>
      </w:pPr>
    </w:p>
    <w:p>
      <w:pPr>
        <w:pStyle w:val="style0"/>
        <w:jc w:val="both"/>
        <w:rPr>
          <w:rFonts w:ascii="Verdana" w:cs="Arial" w:hAnsi="Verdana"/>
          <w:sz w:val="20"/>
          <w:szCs w:val="20"/>
          <w:highlight w:val="yellow"/>
          <w:lang w:eastAsia="en-US"/>
        </w:rPr>
      </w:pPr>
    </w:p>
    <w:p>
      <w:pPr>
        <w:pStyle w:val="style0"/>
        <w:jc w:val="both"/>
        <w:rPr>
          <w:rFonts w:ascii="Verdana" w:cs="Arial" w:hAnsi="Verdana"/>
          <w:sz w:val="20"/>
          <w:szCs w:val="20"/>
          <w:highlight w:val="yellow"/>
          <w:lang w:eastAsia="en-US"/>
        </w:rPr>
      </w:pPr>
    </w:p>
    <w:p>
      <w:pPr>
        <w:pStyle w:val="style0"/>
        <w:jc w:val="both"/>
        <w:rPr>
          <w:rFonts w:ascii="Verdana" w:cs="Arial" w:hAnsi="Verdana"/>
          <w:sz w:val="20"/>
          <w:szCs w:val="20"/>
          <w:highlight w:val="yellow"/>
          <w:lang w:eastAsia="en-US"/>
        </w:rPr>
      </w:pPr>
    </w:p>
    <w:p>
      <w:pPr>
        <w:pStyle w:val="style0"/>
        <w:jc w:val="both"/>
        <w:rPr>
          <w:rFonts w:ascii="Verdana" w:cs="Arial" w:hAnsi="Verdana"/>
          <w:sz w:val="20"/>
          <w:szCs w:val="20"/>
          <w:highlight w:val="yellow"/>
          <w:lang w:eastAsia="en-US"/>
        </w:rPr>
      </w:pPr>
    </w:p>
    <w:p>
      <w:pPr>
        <w:pStyle w:val="style0"/>
        <w:jc w:val="both"/>
        <w:rPr>
          <w:rFonts w:ascii="Verdana" w:cs="Arial" w:hAnsi="Verdana"/>
          <w:sz w:val="20"/>
          <w:szCs w:val="20"/>
          <w:highlight w:val="yellow"/>
          <w:lang w:eastAsia="en-US"/>
        </w:rPr>
      </w:pPr>
    </w:p>
    <w:p>
      <w:pPr>
        <w:pStyle w:val="style0"/>
        <w:jc w:val="both"/>
        <w:rPr>
          <w:rFonts w:ascii="Verdana" w:cs="Arial" w:hAnsi="Verdana"/>
          <w:sz w:val="20"/>
          <w:szCs w:val="20"/>
          <w:highlight w:val="yellow"/>
          <w:lang w:eastAsia="en-US"/>
        </w:rPr>
      </w:pPr>
    </w:p>
    <w:p>
      <w:pPr>
        <w:pStyle w:val="style0"/>
        <w:jc w:val="both"/>
        <w:rPr>
          <w:rFonts w:ascii="Verdana" w:cs="Arial" w:hAnsi="Verdana"/>
          <w:sz w:val="20"/>
          <w:szCs w:val="20"/>
          <w:highlight w:val="yellow"/>
          <w:lang w:eastAsia="en-US"/>
        </w:rPr>
      </w:pPr>
    </w:p>
    <w:p>
      <w:pPr>
        <w:pStyle w:val="style0"/>
        <w:jc w:val="both"/>
        <w:rPr>
          <w:rFonts w:ascii="Verdana" w:cs="Arial" w:hAnsi="Verdana"/>
          <w:sz w:val="20"/>
          <w:szCs w:val="20"/>
          <w:highlight w:val="yellow"/>
          <w:lang w:eastAsia="en-US"/>
        </w:rPr>
      </w:pPr>
    </w:p>
    <w:p>
      <w:pPr>
        <w:pStyle w:val="style0"/>
        <w:jc w:val="both"/>
        <w:rPr>
          <w:rFonts w:ascii="Verdana" w:cs="Arial" w:hAnsi="Verdana"/>
          <w:sz w:val="20"/>
          <w:szCs w:val="20"/>
          <w:highlight w:val="yellow"/>
          <w:lang w:eastAsia="en-US"/>
        </w:rPr>
      </w:pPr>
    </w:p>
    <w:p>
      <w:pPr>
        <w:pStyle w:val="style0"/>
        <w:jc w:val="both"/>
        <w:rPr>
          <w:rFonts w:ascii="Verdana" w:cs="Arial" w:hAnsi="Verdana"/>
          <w:sz w:val="20"/>
          <w:szCs w:val="20"/>
          <w:highlight w:val="yellow"/>
          <w:lang w:eastAsia="en-US"/>
        </w:rPr>
      </w:pPr>
    </w:p>
    <w:p>
      <w:pPr>
        <w:pStyle w:val="style0"/>
        <w:jc w:val="both"/>
        <w:rPr>
          <w:rFonts w:ascii="Verdana" w:cs="Arial" w:hAnsi="Verdana"/>
          <w:sz w:val="20"/>
          <w:szCs w:val="20"/>
          <w:highlight w:val="yellow"/>
          <w:lang w:eastAsia="en-US"/>
        </w:rPr>
      </w:pPr>
    </w:p>
    <w:p>
      <w:pPr>
        <w:pStyle w:val="style0"/>
        <w:jc w:val="both"/>
        <w:rPr>
          <w:rFonts w:ascii="Verdana" w:cs="Arial" w:hAnsi="Verdana"/>
          <w:sz w:val="20"/>
          <w:szCs w:val="20"/>
          <w:highlight w:val="yellow"/>
          <w:lang w:eastAsia="en-US"/>
        </w:rPr>
      </w:pPr>
    </w:p>
    <w:p>
      <w:pPr>
        <w:pStyle w:val="style0"/>
        <w:jc w:val="both"/>
        <w:rPr>
          <w:rFonts w:ascii="Verdana" w:cs="Arial" w:hAnsi="Verdana"/>
          <w:sz w:val="20"/>
          <w:szCs w:val="20"/>
          <w:highlight w:val="yellow"/>
          <w:lang w:eastAsia="en-US"/>
        </w:rPr>
      </w:pPr>
    </w:p>
    <w:bookmarkStart w:id="40" w:name="_Toc225355700"/>
    <w:p>
      <w:pPr>
        <w:pStyle w:val="style2"/>
        <w:rPr>
          <w:rFonts w:cs="Arial"/>
          <w:color w:val="00b050"/>
          <w:sz w:val="20"/>
          <w:szCs w:val="20"/>
          <w:lang w:eastAsia="en-US"/>
        </w:rPr>
      </w:pPr>
      <w:r>
        <w:rPr>
          <w:color w:val="00b050"/>
        </w:rPr>
        <w:t>Lutte contre le VIH/SIDA</w:t>
      </w:r>
      <w:bookmarkEnd w:id="40"/>
    </w:p>
    <w:bookmarkStart w:id="41" w:name="_Toc225355701"/>
    <w:p>
      <w:pPr>
        <w:pStyle w:val="style3"/>
        <w:rPr/>
      </w:pPr>
      <w:r>
        <w:t>Le dépistage</w:t>
      </w:r>
      <w:bookmarkEnd w:id="41"/>
    </w:p>
    <w:p>
      <w:pPr>
        <w:pStyle w:val="style0"/>
        <w:rPr>
          <w:rFonts w:ascii="Verdana" w:hAnsi="Verdana"/>
          <w:iCs/>
          <w:sz w:val="24"/>
          <w:szCs w:val="24"/>
        </w:rPr>
      </w:pPr>
      <w:r>
        <w:rPr>
          <w:rFonts w:ascii="Verdana" w:hAnsi="Verdana"/>
          <w:iCs/>
          <w:sz w:val="24"/>
          <w:szCs w:val="24"/>
        </w:rPr>
        <w:t>1252 patients ont été soumis au dépistage du VIH</w:t>
      </w:r>
      <w:r>
        <w:rPr>
          <w:rFonts w:ascii="Verdana" w:hAnsi="Verdana"/>
          <w:iCs/>
          <w:sz w:val="24"/>
          <w:szCs w:val="24"/>
        </w:rPr>
        <w:t>. 28 parmi eux se sont avérés positifs soit un taux de positivité de 2,2%.</w:t>
      </w:r>
    </w:p>
    <w:p>
      <w:pPr>
        <w:pStyle w:val="style0"/>
        <w:spacing w:after="0" w:lineRule="auto" w:line="240"/>
        <w:rPr>
          <w:rFonts w:ascii="Verdana" w:hAnsi="Verdana"/>
          <w:iCs/>
          <w:sz w:val="18"/>
          <w:szCs w:val="18"/>
        </w:rPr>
      </w:pPr>
      <w:r>
        <w:rPr>
          <w:rFonts w:ascii="Verdana" w:hAnsi="Verdana"/>
          <w:iCs/>
          <w:sz w:val="18"/>
          <w:szCs w:val="18"/>
        </w:rPr>
        <w:t>Table</w:t>
      </w:r>
      <w:r>
        <w:rPr>
          <w:rFonts w:ascii="Verdana" w:hAnsi="Verdana"/>
          <w:iCs/>
          <w:sz w:val="18"/>
          <w:szCs w:val="18"/>
        </w:rPr>
        <w:t>au</w:t>
      </w:r>
      <w:r>
        <w:rPr>
          <w:rFonts w:ascii="Verdana" w:hAnsi="Verdana"/>
          <w:iCs/>
          <w:sz w:val="18"/>
          <w:szCs w:val="18"/>
        </w:rPr>
        <w:t xml:space="preserve"> </w:t>
      </w:r>
      <w:r>
        <w:rPr>
          <w:rFonts w:ascii="Verdana" w:hAnsi="Verdana"/>
          <w:iCs/>
          <w:sz w:val="18"/>
          <w:szCs w:val="18"/>
        </w:rPr>
        <w:t>9</w:t>
      </w:r>
      <w:r>
        <w:rPr>
          <w:rFonts w:ascii="Verdana" w:hAnsi="Verdana"/>
          <w:iCs/>
          <w:sz w:val="18"/>
          <w:szCs w:val="18"/>
        </w:rPr>
        <w:t xml:space="preserve"> : distribution par mois et par site de dépistage des cas positifs du VIH </w:t>
      </w:r>
      <w:r>
        <w:rPr>
          <w:rFonts w:ascii="Verdana" w:hAnsi="Verdana"/>
          <w:iCs/>
          <w:sz w:val="18"/>
          <w:szCs w:val="18"/>
        </w:rPr>
        <w:t>au CHRM en 2025</w:t>
      </w:r>
    </w:p>
    <w:tbl>
      <w:tblPr>
        <w:tblpPr w:leftFromText="141" w:rightFromText="141" w:topFromText="0" w:bottomFromText="0" w:vertAnchor="text" w:horzAnchor="margin" w:tblpX="-431" w:tblpY="246"/>
        <w:tblW w:w="104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6"/>
        <w:gridCol w:w="1638"/>
        <w:gridCol w:w="647"/>
        <w:gridCol w:w="521"/>
        <w:gridCol w:w="647"/>
        <w:gridCol w:w="537"/>
        <w:gridCol w:w="513"/>
        <w:gridCol w:w="567"/>
        <w:gridCol w:w="518"/>
        <w:gridCol w:w="595"/>
        <w:gridCol w:w="600"/>
        <w:gridCol w:w="518"/>
        <w:gridCol w:w="512"/>
        <w:gridCol w:w="514"/>
        <w:gridCol w:w="709"/>
      </w:tblGrid>
      <w:tr>
        <w:trPr>
          <w:trHeight w:val="513" w:hRule="atLeast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SITE   DE   DEPISTAGE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INDICATEUR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janv.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fév.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mars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avr.</w:t>
            </w:r>
          </w:p>
        </w:tc>
        <w:tc>
          <w:tcPr>
            <w:tcW w:w="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mai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juin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juil.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août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Sept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oct.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nov.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déc.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Total</w:t>
            </w:r>
          </w:p>
        </w:tc>
      </w:tr>
      <w:tr>
        <w:tblPrEx/>
        <w:trPr>
          <w:trHeight w:val="185" w:hRule="atLeast"/>
        </w:trPr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GRAND          LABO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Personnes</w:t>
            </w: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 xml:space="preserve"> testées au HIV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35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20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20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187</w:t>
            </w:r>
          </w:p>
        </w:tc>
      </w:tr>
      <w:tr>
        <w:tblPrEx/>
        <w:trPr>
          <w:trHeight w:val="55" w:hRule="atLeast"/>
        </w:trPr>
        <w:tc>
          <w:tcPr>
            <w:tcW w:w="1466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Testées positif au VIH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5</w:t>
            </w:r>
          </w:p>
        </w:tc>
      </w:tr>
      <w:tr>
        <w:tblPrEx/>
        <w:trPr>
          <w:trHeight w:val="269" w:hRule="atLeast"/>
        </w:trPr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LABO URGENCE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Personnes</w:t>
            </w: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 xml:space="preserve"> testées au HIV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2</w:t>
            </w:r>
          </w:p>
        </w:tc>
      </w:tr>
      <w:tr>
        <w:tblPrEx/>
        <w:trPr>
          <w:trHeight w:val="162" w:hRule="atLeast"/>
        </w:trPr>
        <w:tc>
          <w:tcPr>
            <w:tcW w:w="1466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Testées positif au VIH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</w:tr>
      <w:tr>
        <w:tblPrEx/>
        <w:trPr>
          <w:trHeight w:val="83" w:hRule="atLeast"/>
        </w:trPr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USP/CPN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Personnes</w:t>
            </w: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 xml:space="preserve"> testées au HIV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</w:tr>
      <w:tr>
        <w:tblPrEx/>
        <w:trPr>
          <w:trHeight w:val="55" w:hRule="atLeast"/>
        </w:trPr>
        <w:tc>
          <w:tcPr>
            <w:tcW w:w="1466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Testées positif au VIH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</w:tr>
      <w:tr>
        <w:tblPrEx/>
        <w:trPr>
          <w:trHeight w:val="48" w:hRule="atLeast"/>
        </w:trPr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BAN</w:t>
            </w: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QUE DE SANG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Personnes</w:t>
            </w: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 xml:space="preserve"> testées au HIV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23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26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36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26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35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47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331</w:t>
            </w:r>
          </w:p>
        </w:tc>
      </w:tr>
      <w:tr>
        <w:tblPrEx/>
        <w:trPr>
          <w:trHeight w:val="55" w:hRule="atLeast"/>
        </w:trPr>
        <w:tc>
          <w:tcPr>
            <w:tcW w:w="1466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Testées positif au VIH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3</w:t>
            </w:r>
          </w:p>
        </w:tc>
      </w:tr>
      <w:tr>
        <w:tblPrEx/>
        <w:trPr>
          <w:trHeight w:val="150" w:hRule="atLeast"/>
        </w:trPr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UPEC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Personnes</w:t>
            </w: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 xml:space="preserve"> testées au HIV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</w:tr>
      <w:tr>
        <w:tblPrEx/>
        <w:trPr>
          <w:trHeight w:val="55" w:hRule="atLeast"/>
        </w:trPr>
        <w:tc>
          <w:tcPr>
            <w:tcW w:w="1466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Testées positif au VIH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</w:tr>
      <w:tr>
        <w:tblPrEx/>
        <w:trPr>
          <w:trHeight w:val="92" w:hRule="atLeast"/>
        </w:trPr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MATERNITE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Personnes</w:t>
            </w: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 xml:space="preserve"> testées au HIV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3</w:t>
            </w:r>
          </w:p>
        </w:tc>
      </w:tr>
      <w:tr>
        <w:tblPrEx/>
        <w:trPr>
          <w:trHeight w:val="55" w:hRule="atLeast"/>
        </w:trPr>
        <w:tc>
          <w:tcPr>
            <w:tcW w:w="1466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Testées positif au VIH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</w:tr>
      <w:tr>
        <w:tblPrEx/>
        <w:trPr>
          <w:trHeight w:val="48" w:hRule="atLeast"/>
        </w:trPr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DEPISTAGE PAR CAS INDEX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Personnes</w:t>
            </w: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 xml:space="preserve"> testées au HIV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</w:tr>
      <w:tr>
        <w:tblPrEx/>
        <w:trPr>
          <w:trHeight w:val="300" w:hRule="atLeast"/>
        </w:trPr>
        <w:tc>
          <w:tcPr>
            <w:tcW w:w="1466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Testées positif au VIH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</w:tr>
      <w:tr>
        <w:tblPrEx/>
        <w:trPr>
          <w:trHeight w:val="48" w:hRule="atLeast"/>
        </w:trPr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CAMPAGNE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Personnes</w:t>
            </w: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 xml:space="preserve"> testées au HIV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729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729</w:t>
            </w:r>
          </w:p>
        </w:tc>
      </w:tr>
      <w:tr>
        <w:tblPrEx/>
        <w:trPr>
          <w:trHeight w:val="160" w:hRule="atLeast"/>
        </w:trPr>
        <w:tc>
          <w:tcPr>
            <w:tcW w:w="1466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Testées positif au VIH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20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20</w:t>
            </w:r>
          </w:p>
        </w:tc>
      </w:tr>
      <w:tr>
        <w:tblPrEx/>
        <w:trPr>
          <w:trHeight w:val="48" w:hRule="atLeast"/>
        </w:trPr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TOTAL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Personnes</w:t>
            </w: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 xml:space="preserve"> testées au HIV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33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21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36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45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784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34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43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46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52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67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1252</w:t>
            </w:r>
          </w:p>
        </w:tc>
      </w:tr>
      <w:tr>
        <w:tblPrEx/>
        <w:trPr>
          <w:trHeight w:val="55" w:hRule="atLeast"/>
        </w:trPr>
        <w:tc>
          <w:tcPr>
            <w:tcW w:w="1466" w:type="dxa"/>
            <w:vMerge w:val="continue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Testées positif au VIH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20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28</w:t>
            </w:r>
          </w:p>
        </w:tc>
      </w:tr>
      <w:bookmarkStart w:id="42" w:name="_Toc225355702"/>
    </w:tbl>
    <w:p>
      <w:pPr>
        <w:pStyle w:val="style3"/>
        <w:rPr/>
      </w:pPr>
      <w:r>
        <w:t>Le traitement</w:t>
      </w:r>
      <w:bookmarkEnd w:id="42"/>
    </w:p>
    <w:p>
      <w:pPr>
        <w:pStyle w:val="style0"/>
        <w:spacing w:before="240"/>
        <w:jc w:val="both"/>
        <w:rPr>
          <w:rFonts w:ascii="Verdana" w:hAnsi="Verdana"/>
          <w:bCs/>
          <w:iCs/>
          <w:sz w:val="24"/>
          <w:szCs w:val="24"/>
        </w:rPr>
      </w:pPr>
      <w:r>
        <w:rPr>
          <w:rFonts w:ascii="Verdana" w:hAnsi="Verdana"/>
          <w:bCs/>
          <w:iCs/>
          <w:sz w:val="24"/>
          <w:szCs w:val="24"/>
        </w:rPr>
        <w:t xml:space="preserve">En 2025, aucune prise en charge du VIH n’a été effectuée au CHRM. Tous les cas positifs </w:t>
      </w:r>
      <w:r>
        <w:rPr>
          <w:rFonts w:ascii="Verdana" w:hAnsi="Verdana"/>
          <w:bCs/>
          <w:iCs/>
          <w:sz w:val="24"/>
          <w:szCs w:val="24"/>
        </w:rPr>
        <w:t>ont été transférés au CTA de l’H</w:t>
      </w:r>
      <w:r>
        <w:rPr>
          <w:rFonts w:ascii="Verdana" w:hAnsi="Verdana"/>
          <w:bCs/>
          <w:iCs/>
          <w:sz w:val="24"/>
          <w:szCs w:val="24"/>
        </w:rPr>
        <w:t>ôpital Régional de Maroua.</w:t>
      </w:r>
    </w:p>
    <w:p>
      <w:pPr>
        <w:pStyle w:val="style0"/>
        <w:spacing w:before="240"/>
        <w:jc w:val="both"/>
        <w:rPr>
          <w:rFonts w:ascii="Verdana" w:hAnsi="Verdana"/>
          <w:bCs/>
          <w:iCs/>
          <w:sz w:val="24"/>
          <w:szCs w:val="24"/>
        </w:rPr>
      </w:pPr>
    </w:p>
    <w:p>
      <w:pPr>
        <w:pStyle w:val="style0"/>
        <w:spacing w:before="240"/>
        <w:jc w:val="both"/>
        <w:rPr>
          <w:rFonts w:ascii="Verdana" w:hAnsi="Verdana"/>
          <w:bCs/>
          <w:iCs/>
          <w:sz w:val="24"/>
          <w:szCs w:val="24"/>
        </w:rPr>
      </w:pPr>
    </w:p>
    <w:bookmarkStart w:id="43" w:name="_Toc225355703"/>
    <w:p>
      <w:pPr>
        <w:pStyle w:val="style2"/>
        <w:rPr>
          <w:color w:val="00b050"/>
        </w:rPr>
      </w:pPr>
      <w:r>
        <w:rPr>
          <w:color w:val="00b050"/>
        </w:rPr>
        <w:t>Lutte contre la tuberculose</w:t>
      </w:r>
      <w:bookmarkEnd w:id="43"/>
    </w:p>
    <w:p>
      <w:pPr>
        <w:pStyle w:val="style0"/>
        <w:jc w:val="both"/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Cs/>
        </w:rPr>
        <w:t>Au cours de l’année 2025, le CHRM a enregistré quelques cas de tuberculose qui ont été transférés au Centre de D</w:t>
      </w:r>
      <w:r>
        <w:rPr>
          <w:rFonts w:ascii="Verdana" w:hAnsi="Verdana"/>
          <w:bCs/>
        </w:rPr>
        <w:t>épistage et de Traitement de l’H</w:t>
      </w:r>
      <w:r>
        <w:rPr>
          <w:rFonts w:ascii="Verdana" w:hAnsi="Verdana"/>
          <w:bCs/>
        </w:rPr>
        <w:t>ôpital Régional de Maroua.</w:t>
      </w:r>
    </w:p>
    <w:bookmarkStart w:id="44" w:name="_Toc225355704"/>
    <w:p>
      <w:pPr>
        <w:pStyle w:val="style2"/>
        <w:rPr>
          <w:color w:val="00b050"/>
        </w:rPr>
      </w:pPr>
      <w:r>
        <w:rPr>
          <w:color w:val="00b050"/>
        </w:rPr>
        <w:t xml:space="preserve">Les cas de traumatismes reçus </w:t>
      </w:r>
      <w:r>
        <w:rPr>
          <w:color w:val="00b050"/>
        </w:rPr>
        <w:t>au service</w:t>
      </w:r>
      <w:r>
        <w:rPr>
          <w:color w:val="00b050"/>
        </w:rPr>
        <w:t xml:space="preserve"> des urgences</w:t>
      </w:r>
      <w:bookmarkEnd w:id="44"/>
      <w:r>
        <w:rPr>
          <w:color w:val="00b050"/>
        </w:rPr>
        <w:t xml:space="preserve"> </w:t>
      </w:r>
    </w:p>
    <w:p>
      <w:pPr>
        <w:pStyle w:val="style0"/>
        <w:jc w:val="both"/>
        <w:rPr>
          <w:rFonts w:ascii="Verdana" w:hAnsi="Verdana"/>
          <w:bCs/>
          <w:iCs/>
        </w:rPr>
      </w:pPr>
      <w:r>
        <w:rPr>
          <w:rFonts w:ascii="Verdana" w:hAnsi="Verdana"/>
          <w:bCs/>
          <w:iCs/>
        </w:rPr>
        <w:t xml:space="preserve">Au total, </w:t>
      </w:r>
      <w:r>
        <w:rPr>
          <w:rFonts w:ascii="Verdana" w:hAnsi="Verdana"/>
          <w:bCs/>
          <w:iCs/>
        </w:rPr>
        <w:t>30</w:t>
      </w:r>
      <w:r>
        <w:rPr>
          <w:rFonts w:ascii="Verdana" w:hAnsi="Verdana"/>
          <w:bCs/>
          <w:iCs/>
        </w:rPr>
        <w:t xml:space="preserve"> cas de traumatisme ont été reçus aux urgences </w:t>
      </w:r>
      <w:r>
        <w:rPr>
          <w:rFonts w:ascii="Verdana" w:hAnsi="Verdana"/>
          <w:bCs/>
          <w:iCs/>
        </w:rPr>
        <w:t>du CHRM</w:t>
      </w:r>
      <w:r>
        <w:rPr>
          <w:rFonts w:ascii="Verdana" w:hAnsi="Verdana"/>
          <w:bCs/>
          <w:iCs/>
        </w:rPr>
        <w:t xml:space="preserve"> </w:t>
      </w:r>
      <w:r>
        <w:rPr>
          <w:rFonts w:ascii="Verdana" w:hAnsi="Verdana"/>
          <w:bCs/>
          <w:iCs/>
        </w:rPr>
        <w:t>en 202</w:t>
      </w:r>
      <w:r>
        <w:rPr>
          <w:rFonts w:ascii="Verdana" w:hAnsi="Verdana"/>
          <w:bCs/>
          <w:iCs/>
        </w:rPr>
        <w:t>5</w:t>
      </w:r>
      <w:r>
        <w:rPr>
          <w:rFonts w:ascii="Verdana" w:hAnsi="Verdana"/>
          <w:bCs/>
          <w:iCs/>
        </w:rPr>
        <w:t>. Les accidents de la voie publique occupent le 1</w:t>
      </w:r>
      <w:r>
        <w:rPr>
          <w:rFonts w:ascii="Verdana" w:hAnsi="Verdana"/>
          <w:bCs/>
          <w:iCs/>
          <w:vertAlign w:val="superscript"/>
        </w:rPr>
        <w:t>er</w:t>
      </w:r>
      <w:r>
        <w:rPr>
          <w:rFonts w:ascii="Verdana" w:hAnsi="Verdana"/>
          <w:bCs/>
          <w:iCs/>
        </w:rPr>
        <w:t xml:space="preserve"> rang (</w:t>
      </w:r>
      <w:r>
        <w:rPr>
          <w:rFonts w:ascii="Verdana" w:hAnsi="Verdana"/>
          <w:bCs/>
          <w:iCs/>
        </w:rPr>
        <w:t>75</w:t>
      </w:r>
      <w:r>
        <w:rPr>
          <w:rFonts w:ascii="Verdana" w:hAnsi="Verdana"/>
          <w:bCs/>
          <w:iCs/>
        </w:rPr>
        <w:t>,</w:t>
      </w:r>
      <w:r>
        <w:rPr>
          <w:rFonts w:ascii="Verdana" w:hAnsi="Verdana"/>
          <w:bCs/>
          <w:iCs/>
        </w:rPr>
        <w:t>3</w:t>
      </w:r>
      <w:r>
        <w:rPr>
          <w:rFonts w:ascii="Verdana" w:hAnsi="Verdana"/>
          <w:bCs/>
          <w:iCs/>
        </w:rPr>
        <w:t>%).</w:t>
      </w:r>
    </w:p>
    <w:tbl>
      <w:tblPr>
        <w:tblpPr w:leftFromText="141" w:rightFromText="141" w:topFromText="0" w:bottomFromText="0" w:vertAnchor="text" w:horzAnchor="margin" w:tblpXSpec="left" w:tblpY="355"/>
        <w:tblW w:w="9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500"/>
        <w:gridCol w:w="720"/>
        <w:gridCol w:w="720"/>
        <w:gridCol w:w="960"/>
        <w:gridCol w:w="640"/>
        <w:gridCol w:w="580"/>
        <w:gridCol w:w="580"/>
        <w:gridCol w:w="700"/>
        <w:gridCol w:w="820"/>
        <w:gridCol w:w="1000"/>
      </w:tblGrid>
      <w:tr>
        <w:trPr>
          <w:trHeight w:val="465" w:hRule="atLeast"/>
        </w:trPr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ffffff"/>
                <w:sz w:val="18"/>
                <w:szCs w:val="18"/>
                <w:lang w:eastAsia="fr-CM"/>
              </w:rPr>
              <w:t> </w:t>
            </w:r>
          </w:p>
        </w:tc>
        <w:tc>
          <w:tcPr>
            <w:tcW w:w="540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18"/>
                <w:szCs w:val="18"/>
                <w:lang w:eastAsia="fr-CM"/>
              </w:rPr>
              <w:t>TRANCHES D'AGE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18"/>
                <w:szCs w:val="18"/>
                <w:lang w:eastAsia="fr-CM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color w:val="ffffff"/>
                <w:sz w:val="18"/>
                <w:szCs w:val="18"/>
                <w:lang w:eastAsia="fr-CM"/>
              </w:rPr>
              <w:t> </w:t>
            </w:r>
          </w:p>
        </w:tc>
      </w:tr>
      <w:tr>
        <w:tblPrEx/>
        <w:trPr>
          <w:trHeight w:val="525" w:hRule="atLeast"/>
        </w:trPr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  <w:t>TYPES DE TRAUMATISME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  <w:t xml:space="preserve">&lt; </w:t>
            </w:r>
            <w:r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  <w:t>1  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  <w:t xml:space="preserve"> 1 à 4 ans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  <w:t xml:space="preserve"> 5 à 9 ans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  <w:t xml:space="preserve"> 10 - 14 ans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  <w:t xml:space="preserve"> 15 - 19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  <w:t>20 - 24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  <w:t>25 - 49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  <w:t>50 et +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  <w:t>TOTAL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  <w:t>%</w:t>
            </w:r>
          </w:p>
        </w:tc>
      </w:tr>
      <w:tr>
        <w:tblPrEx/>
        <w:trPr>
          <w:trHeight w:val="372" w:hRule="atLeast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Accidents de la Voie Publique (AVP)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73,3%</w:t>
            </w:r>
          </w:p>
        </w:tc>
      </w:tr>
      <w:tr>
        <w:tblPrEx/>
        <w:trPr>
          <w:trHeight w:val="65" w:hRule="atLeast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Agression Arme blanche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3,3%</w:t>
            </w:r>
          </w:p>
        </w:tc>
      </w:tr>
      <w:tr>
        <w:tblPrEx/>
        <w:trPr>
          <w:trHeight w:val="65" w:hRule="atLeast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Agression Arme à feu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6,7%</w:t>
            </w:r>
          </w:p>
        </w:tc>
      </w:tr>
      <w:tr>
        <w:tblPrEx/>
        <w:trPr>
          <w:trHeight w:val="65" w:hRule="atLeast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Viol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0,0%</w:t>
            </w:r>
          </w:p>
        </w:tc>
      </w:tr>
      <w:tr>
        <w:tblPrEx/>
        <w:trPr>
          <w:trHeight w:val="65" w:hRule="atLeast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Bagarre (RIXE)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0,0%</w:t>
            </w:r>
          </w:p>
        </w:tc>
      </w:tr>
      <w:tr>
        <w:tblPrEx/>
        <w:trPr>
          <w:trHeight w:val="65" w:hRule="atLeast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Traumatisme post chute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16,7%</w:t>
            </w:r>
          </w:p>
        </w:tc>
      </w:tr>
      <w:tr>
        <w:tblPrEx/>
        <w:trPr>
          <w:trHeight w:val="65" w:hRule="atLeast"/>
        </w:trPr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TOTAL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100,0%</w:t>
            </w:r>
          </w:p>
        </w:tc>
      </w:tr>
    </w:tbl>
    <w:p>
      <w:pPr>
        <w:pStyle w:val="style0"/>
        <w:jc w:val="both"/>
        <w:rPr>
          <w:rFonts w:ascii="Verdana" w:hAnsi="Verdana"/>
          <w:bCs/>
          <w:iCs/>
          <w:sz w:val="16"/>
          <w:szCs w:val="16"/>
        </w:rPr>
      </w:pPr>
      <w:r>
        <w:rPr>
          <w:rFonts w:ascii="Verdana" w:hAnsi="Verdana"/>
          <w:b/>
          <w:iCs/>
          <w:sz w:val="16"/>
          <w:szCs w:val="16"/>
          <w:u w:val="single"/>
        </w:rPr>
        <w:t xml:space="preserve">Tableau </w:t>
      </w:r>
      <w:r>
        <w:rPr>
          <w:rFonts w:ascii="Verdana" w:hAnsi="Verdana"/>
          <w:b/>
          <w:iCs/>
          <w:sz w:val="16"/>
          <w:szCs w:val="16"/>
          <w:u w:val="single"/>
        </w:rPr>
        <w:t>10</w:t>
      </w:r>
      <w:r>
        <w:rPr>
          <w:rFonts w:ascii="Verdana" w:hAnsi="Verdana"/>
          <w:bCs/>
          <w:iCs/>
          <w:sz w:val="16"/>
          <w:szCs w:val="16"/>
        </w:rPr>
        <w:t xml:space="preserve"> :</w:t>
      </w:r>
      <w:r>
        <w:rPr>
          <w:rFonts w:ascii="Verdana" w:hAnsi="Verdana"/>
          <w:bCs/>
          <w:iCs/>
          <w:sz w:val="16"/>
          <w:szCs w:val="16"/>
        </w:rPr>
        <w:t xml:space="preserve"> Distribution par tranche d’âge des cas de traumatismes reçus aux urgences </w:t>
      </w:r>
      <w:r>
        <w:rPr>
          <w:rFonts w:ascii="Verdana" w:hAnsi="Verdana"/>
          <w:bCs/>
          <w:iCs/>
          <w:sz w:val="16"/>
          <w:szCs w:val="16"/>
        </w:rPr>
        <w:t>du CHRM</w:t>
      </w:r>
      <w:r>
        <w:rPr>
          <w:rFonts w:ascii="Verdana" w:hAnsi="Verdana"/>
          <w:bCs/>
          <w:iCs/>
          <w:sz w:val="16"/>
          <w:szCs w:val="16"/>
        </w:rPr>
        <w:t xml:space="preserve"> en 202</w:t>
      </w:r>
      <w:r>
        <w:rPr>
          <w:rFonts w:ascii="Verdana" w:hAnsi="Verdana"/>
          <w:bCs/>
          <w:iCs/>
          <w:sz w:val="16"/>
          <w:szCs w:val="16"/>
        </w:rPr>
        <w:t>5</w:t>
      </w:r>
    </w:p>
    <w:p>
      <w:pPr>
        <w:pStyle w:val="style0"/>
        <w:jc w:val="both"/>
        <w:rPr>
          <w:rFonts w:ascii="Verdana" w:hAnsi="Verdana"/>
          <w:highlight w:val="yellow"/>
        </w:rPr>
      </w:pPr>
    </w:p>
    <w:bookmarkStart w:id="45" w:name="_Toc225355705"/>
    <w:p>
      <w:pPr>
        <w:pStyle w:val="style2"/>
        <w:rPr>
          <w:color w:val="00b050"/>
        </w:rPr>
      </w:pPr>
      <w:r>
        <w:rPr>
          <w:color w:val="00b050"/>
        </w:rPr>
        <w:t>Les Soins de kinésithérapie et réhabilitation</w:t>
      </w:r>
      <w:bookmarkEnd w:id="45"/>
    </w:p>
    <w:p>
      <w:pPr>
        <w:pStyle w:val="style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En 202</w:t>
      </w:r>
      <w:r>
        <w:rPr>
          <w:rFonts w:ascii="Verdana" w:hAnsi="Verdana"/>
          <w:sz w:val="24"/>
          <w:szCs w:val="24"/>
        </w:rPr>
        <w:t>5</w:t>
      </w:r>
      <w:r>
        <w:rPr>
          <w:rFonts w:ascii="Verdana" w:hAnsi="Verdana"/>
          <w:sz w:val="24"/>
          <w:szCs w:val="24"/>
        </w:rPr>
        <w:t xml:space="preserve"> l’unité de kinésithérapie a reçu </w:t>
      </w:r>
      <w:r>
        <w:rPr>
          <w:rFonts w:ascii="Verdana" w:hAnsi="Verdana"/>
          <w:sz w:val="24"/>
          <w:szCs w:val="24"/>
        </w:rPr>
        <w:t xml:space="preserve">au total 189 patients soit </w:t>
      </w:r>
      <w:r>
        <w:rPr>
          <w:rFonts w:ascii="Verdana" w:hAnsi="Verdana"/>
          <w:sz w:val="24"/>
          <w:szCs w:val="24"/>
        </w:rPr>
        <w:t>en moyenne 1</w:t>
      </w:r>
      <w:r>
        <w:rPr>
          <w:rFonts w:ascii="Verdana" w:hAnsi="Verdana"/>
          <w:sz w:val="24"/>
          <w:szCs w:val="24"/>
        </w:rPr>
        <w:t xml:space="preserve">6 </w:t>
      </w:r>
      <w:r>
        <w:rPr>
          <w:rFonts w:ascii="Verdana" w:hAnsi="Verdana"/>
          <w:sz w:val="24"/>
          <w:szCs w:val="24"/>
        </w:rPr>
        <w:t>patients par mois pour environ 1</w:t>
      </w:r>
      <w:r>
        <w:rPr>
          <w:rFonts w:ascii="Verdana" w:hAnsi="Verdana"/>
          <w:sz w:val="24"/>
          <w:szCs w:val="24"/>
        </w:rPr>
        <w:t>2</w:t>
      </w:r>
      <w:r>
        <w:rPr>
          <w:rFonts w:ascii="Verdana" w:hAnsi="Verdana"/>
          <w:sz w:val="24"/>
          <w:szCs w:val="24"/>
        </w:rPr>
        <w:t xml:space="preserve"> séances par patient. </w:t>
      </w:r>
    </w:p>
    <w:p>
      <w:pPr>
        <w:pStyle w:val="style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La courbe d’évolution du nombre de patients reçus par mois est croissante.</w:t>
      </w:r>
    </w:p>
    <w:p>
      <w:pPr>
        <w:pStyle w:val="style0"/>
        <w:spacing w:after="0"/>
        <w:jc w:val="both"/>
        <w:rPr>
          <w:rFonts w:ascii="Verdana" w:hAnsi="Verdana"/>
          <w:bCs/>
          <w:iCs/>
          <w:sz w:val="16"/>
          <w:szCs w:val="16"/>
        </w:rPr>
      </w:pPr>
      <w:r>
        <w:rPr>
          <w:rFonts w:ascii="Verdana" w:hAnsi="Verdana"/>
          <w:b/>
          <w:iCs/>
          <w:sz w:val="16"/>
          <w:szCs w:val="16"/>
          <w:u w:val="single"/>
        </w:rPr>
        <w:t>Tableau</w:t>
      </w:r>
      <w:r>
        <w:rPr>
          <w:rFonts w:ascii="Verdana" w:hAnsi="Verdana"/>
          <w:b/>
          <w:iCs/>
          <w:sz w:val="16"/>
          <w:szCs w:val="16"/>
          <w:u w:val="single"/>
        </w:rPr>
        <w:t xml:space="preserve"> </w:t>
      </w:r>
      <w:r>
        <w:rPr>
          <w:rFonts w:ascii="Verdana" w:hAnsi="Verdana"/>
          <w:b/>
          <w:iCs/>
          <w:sz w:val="16"/>
          <w:szCs w:val="16"/>
          <w:u w:val="single"/>
        </w:rPr>
        <w:t>11</w:t>
      </w:r>
      <w:r>
        <w:rPr>
          <w:rFonts w:ascii="Verdana" w:hAnsi="Verdana"/>
          <w:bCs/>
          <w:iCs/>
          <w:sz w:val="16"/>
          <w:szCs w:val="16"/>
        </w:rPr>
        <w:t xml:space="preserve"> :</w:t>
      </w:r>
      <w:r>
        <w:rPr>
          <w:rFonts w:ascii="Verdana" w:hAnsi="Verdana"/>
          <w:bCs/>
          <w:iCs/>
          <w:sz w:val="16"/>
          <w:szCs w:val="16"/>
        </w:rPr>
        <w:t xml:space="preserve"> Différents catégories de pathologies enregistrées en kinésithérapie tous les mois </w:t>
      </w:r>
      <w:r>
        <w:rPr>
          <w:rFonts w:ascii="Verdana" w:hAnsi="Verdana"/>
          <w:bCs/>
          <w:iCs/>
          <w:sz w:val="16"/>
          <w:szCs w:val="16"/>
        </w:rPr>
        <w:t>au CHRM en 2025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"/>
        <w:gridCol w:w="2367"/>
        <w:gridCol w:w="448"/>
        <w:gridCol w:w="448"/>
        <w:gridCol w:w="425"/>
        <w:gridCol w:w="460"/>
        <w:gridCol w:w="448"/>
        <w:gridCol w:w="449"/>
        <w:gridCol w:w="580"/>
        <w:gridCol w:w="448"/>
        <w:gridCol w:w="448"/>
        <w:gridCol w:w="448"/>
        <w:gridCol w:w="448"/>
        <w:gridCol w:w="448"/>
        <w:gridCol w:w="641"/>
      </w:tblGrid>
      <w:tr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Verdana" w:cs="Arial" w:eastAsia="Times New Roman" w:hAnsi="Verdana"/>
                <w:color w:val="ffffff"/>
                <w:sz w:val="16"/>
                <w:szCs w:val="16"/>
                <w:lang w:eastAsia="fr-CM"/>
              </w:rPr>
            </w:pPr>
            <w:r>
              <w:rPr>
                <w:rFonts w:ascii="Verdana" w:cs="Arial" w:eastAsia="Times New Roman" w:hAnsi="Verdana"/>
                <w:color w:val="ffffff"/>
                <w:sz w:val="16"/>
                <w:szCs w:val="16"/>
                <w:lang w:eastAsia="fr-CM"/>
              </w:rPr>
              <w:t>N°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Arial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  <w:t>Types de pathologie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  <w:t>Jan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  <w:t>Fév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  <w:t>Mar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  <w:t>Avril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  <w:t>Mai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  <w:t>Juin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  <w:t>Juillet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  <w:t>Aoû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  <w:t>Sep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  <w:t>Oct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  <w:t>Nov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  <w:t>Déc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  <w:t>TOTAL</w:t>
            </w:r>
          </w:p>
        </w:tc>
      </w:tr>
      <w:tr>
        <w:tblPrEx/>
        <w:trPr>
          <w:trHeight w:val="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Traumatologie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sz w:val="18"/>
                <w:szCs w:val="18"/>
                <w:lang w:eastAsia="fr-CM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61</w:t>
            </w:r>
          </w:p>
        </w:tc>
      </w:tr>
      <w:tr>
        <w:tblPrEx/>
        <w:trPr>
          <w:trHeight w:val="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Orthopédie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7</w:t>
            </w:r>
          </w:p>
        </w:tc>
      </w:tr>
      <w:tr>
        <w:tblPrEx/>
        <w:trPr>
          <w:trHeight w:val="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Respiratoire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12</w:t>
            </w:r>
          </w:p>
        </w:tc>
      </w:tr>
      <w:tr>
        <w:tblPrEx/>
        <w:trPr>
          <w:trHeight w:val="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Neurologie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26</w:t>
            </w:r>
          </w:p>
        </w:tc>
      </w:tr>
      <w:tr>
        <w:tblPrEx/>
        <w:trPr>
          <w:trHeight w:val="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Rhumatologie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74</w:t>
            </w:r>
          </w:p>
        </w:tc>
      </w:tr>
      <w:tr>
        <w:tblPrEx/>
        <w:trPr>
          <w:trHeight w:val="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Appareillage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</w:tr>
      <w:tr>
        <w:tblPrEx/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Malformation des membres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sz w:val="18"/>
                <w:szCs w:val="18"/>
                <w:lang w:eastAsia="fr-CM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7</w:t>
            </w:r>
          </w:p>
        </w:tc>
      </w:tr>
      <w:tr>
        <w:tblPrEx/>
        <w:trPr>
          <w:trHeight w:val="5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Autres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2</w:t>
            </w:r>
          </w:p>
        </w:tc>
      </w:tr>
      <w:tr>
        <w:tblPrEx/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Total patients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189</w:t>
            </w:r>
          </w:p>
        </w:tc>
      </w:tr>
      <w:tr>
        <w:tblPrEx/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color w:val="000000"/>
                <w:sz w:val="18"/>
                <w:szCs w:val="18"/>
                <w:lang w:eastAsia="fr-CM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Nombre de SEANCES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Arial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2270</w:t>
            </w:r>
          </w:p>
        </w:tc>
      </w:tr>
    </w:tbl>
    <w:p>
      <w:pPr>
        <w:pStyle w:val="style0"/>
        <w:jc w:val="both"/>
        <w:rPr>
          <w:rFonts w:ascii="Verdana" w:hAnsi="Verdana"/>
          <w:b/>
          <w:bCs/>
          <w:iCs/>
          <w:sz w:val="28"/>
          <w:szCs w:val="28"/>
          <w:highlight w:val="yellow"/>
        </w:rPr>
      </w:pPr>
    </w:p>
    <w:p>
      <w:pPr>
        <w:pStyle w:val="style0"/>
        <w:spacing w:after="0"/>
        <w:jc w:val="both"/>
        <w:rPr>
          <w:rFonts w:ascii="Verdana" w:hAnsi="Verdana"/>
          <w:b/>
          <w:bCs/>
          <w:iCs/>
          <w:sz w:val="28"/>
          <w:szCs w:val="28"/>
          <w:highlight w:val="yellow"/>
        </w:rPr>
      </w:pPr>
      <w:r>
        <w:rPr>
          <w:noProof/>
          <w:lang w:val="fr-FR"/>
        </w:rPr>
      </w:r>
      <w:r>
        <w:rPr>
          <w:noProof/>
          <w:lang w:val="fr-FR"/>
        </w:rPr>
      </w:r>
      <w:r>
        <w:rPr>
          <w:noProof/>
          <w:lang w:val="fr-FR"/>
        </w:rPr>
      </w:r>
      <w:r>
        <w:rPr>
          <w:noProof/>
          <w:lang w:val="fr-FR"/>
        </w:rPr>
        <w:drawing>
          <wp:inline distL="114300" distT="0" distB="0" distR="114300">
            <wp:extent cx="4530602" cy="2709671"/>
            <wp:effectExtent l="0" t="0" r="0" b="0"/>
            <wp:docPr id="105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>
        <w:rPr>
          <w:noProof/>
          <w:lang w:val="fr-FR"/>
        </w:rPr>
      </w:r>
    </w:p>
    <w:p>
      <w:pPr>
        <w:pStyle w:val="style0"/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u w:val="single"/>
        </w:rPr>
        <w:t>Courbe</w:t>
      </w:r>
      <w:r>
        <w:rPr>
          <w:rFonts w:ascii="Verdana" w:hAnsi="Verdana"/>
          <w:sz w:val="20"/>
          <w:szCs w:val="20"/>
          <w:u w:val="single"/>
        </w:rPr>
        <w:t xml:space="preserve"> 2</w:t>
      </w:r>
      <w:r>
        <w:rPr>
          <w:rFonts w:ascii="Verdana" w:hAnsi="Verdana"/>
          <w:sz w:val="20"/>
          <w:szCs w:val="20"/>
        </w:rPr>
        <w:t> :</w:t>
      </w:r>
      <w:r>
        <w:rPr>
          <w:rFonts w:ascii="Verdana" w:hAnsi="Verdana"/>
          <w:sz w:val="20"/>
          <w:szCs w:val="20"/>
        </w:rPr>
        <w:t xml:space="preserve"> évolution par mois du nombre de patients reçus en kiné au CHRM en 2025</w:t>
      </w:r>
    </w:p>
    <w:p>
      <w:pPr>
        <w:pStyle w:val="style0"/>
        <w:spacing w:after="0"/>
        <w:rPr>
          <w:rFonts w:ascii="Verdana" w:cs="Arial" w:hAnsi="Verdana"/>
          <w:b/>
        </w:rPr>
      </w:pPr>
    </w:p>
    <w:bookmarkStart w:id="46" w:name="_Toc225355706"/>
    <w:p>
      <w:pPr>
        <w:pStyle w:val="style2"/>
        <w:rPr>
          <w:color w:val="00b050"/>
        </w:rPr>
      </w:pPr>
      <w:r>
        <w:rPr>
          <w:color w:val="00b050"/>
        </w:rPr>
        <w:t>LES AUTRES PERFORMANCES CLINIQUES</w:t>
      </w:r>
      <w:bookmarkEnd w:id="46"/>
    </w:p>
    <w:bookmarkStart w:id="47" w:name="_Toc225355707"/>
    <w:p>
      <w:pPr>
        <w:pStyle w:val="style3"/>
        <w:rPr/>
      </w:pPr>
      <w:r>
        <w:t>les consultations</w:t>
      </w:r>
      <w:bookmarkEnd w:id="47"/>
    </w:p>
    <w:p>
      <w:pPr>
        <w:pStyle w:val="style0"/>
        <w:jc w:val="both"/>
        <w:rPr>
          <w:rFonts w:ascii="Verdana" w:cs="Calibri" w:hAnsi="Verdana"/>
          <w:color w:val="000000"/>
        </w:rPr>
      </w:pPr>
      <w:r>
        <w:rPr>
          <w:rFonts w:ascii="Verdana" w:cs="Arial" w:hAnsi="Verdana"/>
        </w:rPr>
        <w:t>En termes de</w:t>
      </w:r>
      <w:r>
        <w:rPr>
          <w:rFonts w:ascii="Verdana" w:cs="Arial" w:hAnsi="Verdana"/>
        </w:rPr>
        <w:t xml:space="preserve"> consultations curatives, </w:t>
      </w:r>
      <w:r>
        <w:rPr>
          <w:rFonts w:ascii="Verdana" w:cs="Arial" w:hAnsi="Verdana"/>
        </w:rPr>
        <w:t xml:space="preserve">le CHR de Maroua </w:t>
      </w:r>
      <w:r>
        <w:rPr>
          <w:rFonts w:ascii="Verdana" w:cs="Arial" w:hAnsi="Verdana"/>
        </w:rPr>
        <w:t xml:space="preserve">a </w:t>
      </w:r>
      <w:r>
        <w:rPr>
          <w:rFonts w:ascii="Verdana" w:cs="Arial" w:hAnsi="Verdana"/>
        </w:rPr>
        <w:t>enregistré</w:t>
      </w:r>
      <w:r>
        <w:rPr>
          <w:rFonts w:ascii="Verdana" w:cs="Arial" w:hAnsi="Verdana"/>
        </w:rPr>
        <w:t xml:space="preserve"> en 202</w:t>
      </w:r>
      <w:r>
        <w:rPr>
          <w:rFonts w:ascii="Verdana" w:cs="Arial" w:hAnsi="Verdana"/>
        </w:rPr>
        <w:t>5</w:t>
      </w:r>
      <w:r>
        <w:rPr>
          <w:rFonts w:ascii="Verdana" w:cs="Arial" w:hAnsi="Verdana"/>
        </w:rPr>
        <w:t xml:space="preserve">, un total de </w:t>
      </w:r>
      <w:r>
        <w:rPr>
          <w:rFonts w:ascii="Verdana" w:cs="Calibri" w:hAnsi="Verdana"/>
          <w:color w:val="000000"/>
        </w:rPr>
        <w:t>7700</w:t>
      </w:r>
      <w:r>
        <w:rPr>
          <w:rFonts w:ascii="Verdana" w:cs="Calibri" w:hAnsi="Verdana"/>
          <w:color w:val="000000"/>
        </w:rPr>
        <w:t xml:space="preserve"> patients </w:t>
      </w:r>
      <w:r>
        <w:rPr>
          <w:rFonts w:ascii="Verdana" w:cs="Calibri" w:hAnsi="Verdana"/>
          <w:color w:val="000000"/>
        </w:rPr>
        <w:t xml:space="preserve">dont </w:t>
      </w:r>
      <w:r>
        <w:rPr>
          <w:rFonts w:ascii="Verdana" w:cs="Calibri" w:hAnsi="Verdana"/>
          <w:color w:val="000000"/>
        </w:rPr>
        <w:t>6061 nouveaux cas</w:t>
      </w:r>
      <w:r>
        <w:rPr>
          <w:rFonts w:ascii="Verdana" w:cs="Calibri" w:hAnsi="Verdana"/>
          <w:color w:val="000000"/>
        </w:rPr>
        <w:t xml:space="preserve"> (moyenne mens : 505)</w:t>
      </w:r>
      <w:r>
        <w:rPr>
          <w:rFonts w:ascii="Verdana" w:cs="Calibri" w:hAnsi="Verdana"/>
          <w:color w:val="000000"/>
        </w:rPr>
        <w:t>.</w:t>
      </w:r>
      <w:r>
        <w:rPr>
          <w:rFonts w:ascii="Verdana" w:cs="Calibri" w:hAnsi="Verdana"/>
          <w:color w:val="000000"/>
        </w:rPr>
        <w:t xml:space="preserve"> A travers la courbe, on note une augmentation progressive de la fréquentation.</w:t>
      </w:r>
    </w:p>
    <w:tbl>
      <w:tblPr>
        <w:tblpPr w:leftFromText="141" w:rightFromText="141" w:topFromText="0" w:bottomFromText="0" w:vertAnchor="text" w:horzAnchor="margin" w:tblpXSpec="left" w:tblpY="308"/>
        <w:tblW w:w="9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700"/>
        <w:gridCol w:w="580"/>
        <w:gridCol w:w="700"/>
        <w:gridCol w:w="700"/>
        <w:gridCol w:w="580"/>
        <w:gridCol w:w="620"/>
        <w:gridCol w:w="580"/>
        <w:gridCol w:w="700"/>
        <w:gridCol w:w="680"/>
        <w:gridCol w:w="580"/>
        <w:gridCol w:w="580"/>
        <w:gridCol w:w="580"/>
        <w:gridCol w:w="760"/>
      </w:tblGrid>
      <w:tr>
        <w:trPr>
          <w:trHeight w:val="510" w:hRule="atLeast"/>
        </w:trPr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  <w:t>Indic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  <w:t>Janv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  <w:t>Fév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  <w:t>Mars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  <w:t>Avril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  <w:t>Mai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  <w:t>Juin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  <w:t>Juil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  <w:t>Août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  <w:t>Sept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  <w:t>Oct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  <w:t>N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  <w:t>Déc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20"/>
                <w:szCs w:val="20"/>
                <w:lang w:eastAsia="fr-CM"/>
              </w:rPr>
              <w:t>Total</w:t>
            </w:r>
          </w:p>
        </w:tc>
      </w:tr>
      <w:tr>
        <w:tblPrEx/>
        <w:trPr>
          <w:trHeight w:val="255" w:hRule="atLeast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Nbre NC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322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331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336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527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515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421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573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607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712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554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526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637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6061</w:t>
            </w:r>
          </w:p>
        </w:tc>
      </w:tr>
      <w:tr>
        <w:tblPrEx/>
        <w:trPr>
          <w:trHeight w:val="255" w:hRule="atLeast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Nbre AC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52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117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134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159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221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185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133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179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1639</w:t>
            </w:r>
          </w:p>
        </w:tc>
      </w:tr>
      <w:tr>
        <w:tblPrEx/>
        <w:trPr>
          <w:trHeight w:val="270" w:hRule="atLeast"/>
        </w:trPr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TOTAL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372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383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442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644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649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554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732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828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897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724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659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816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7700</w:t>
            </w:r>
          </w:p>
        </w:tc>
      </w:tr>
    </w:tbl>
    <w:p>
      <w:pPr>
        <w:pStyle w:val="style0"/>
        <w:jc w:val="both"/>
        <w:rPr>
          <w:rFonts w:ascii="Verdana" w:cs="Arial" w:hAnsi="Verdana"/>
          <w:sz w:val="18"/>
          <w:szCs w:val="18"/>
        </w:rPr>
      </w:pPr>
      <w:r>
        <w:rPr>
          <w:rFonts w:ascii="Verdana" w:cs="Arial" w:hAnsi="Verdana"/>
          <w:b/>
          <w:bCs/>
          <w:sz w:val="18"/>
          <w:szCs w:val="18"/>
          <w:u w:val="single"/>
        </w:rPr>
        <w:t>Tableau </w:t>
      </w:r>
      <w:r>
        <w:rPr>
          <w:rFonts w:ascii="Verdana" w:hAnsi="Verdana"/>
          <w:b/>
          <w:bCs/>
          <w:iCs/>
          <w:sz w:val="18"/>
          <w:szCs w:val="18"/>
          <w:u w:val="single"/>
        </w:rPr>
        <w:t>11</w:t>
      </w:r>
      <w:r>
        <w:rPr>
          <w:rFonts w:ascii="Verdana" w:hAnsi="Verdana"/>
          <w:sz w:val="18"/>
          <w:szCs w:val="18"/>
        </w:rPr>
        <w:t xml:space="preserve"> :</w:t>
      </w:r>
      <w:r>
        <w:rPr>
          <w:rFonts w:ascii="Verdana" w:cs="Arial" w:hAnsi="Verdana"/>
          <w:sz w:val="18"/>
          <w:szCs w:val="18"/>
        </w:rPr>
        <w:t xml:space="preserve"> Distribution par mois des nouvelles et anciennes consultations </w:t>
      </w:r>
      <w:r>
        <w:rPr>
          <w:rFonts w:ascii="Verdana" w:cs="Arial" w:hAnsi="Verdana"/>
          <w:sz w:val="18"/>
          <w:szCs w:val="18"/>
        </w:rPr>
        <w:t>au CHRM en 20258</w:t>
      </w:r>
    </w:p>
    <w:p>
      <w:pPr>
        <w:pStyle w:val="style0"/>
        <w:jc w:val="both"/>
        <w:rPr>
          <w:rFonts w:ascii="Verdana" w:cs="Arial" w:hAnsi="Verdana"/>
          <w:highlight w:val="yellow"/>
        </w:rPr>
      </w:pPr>
    </w:p>
    <w:p>
      <w:pPr>
        <w:pStyle w:val="style0"/>
        <w:spacing w:after="0"/>
        <w:jc w:val="both"/>
        <w:rPr>
          <w:rFonts w:ascii="Verdana" w:cs="Arial" w:hAnsi="Verdana"/>
          <w:highlight w:val="yellow"/>
        </w:rPr>
      </w:pPr>
      <w:r>
        <w:rPr>
          <w:noProof/>
          <w:lang w:val="fr-FR"/>
        </w:rPr>
      </w:r>
      <w:r>
        <w:rPr>
          <w:noProof/>
          <w:lang w:val="fr-FR"/>
        </w:rPr>
      </w:r>
      <w:r>
        <w:rPr>
          <w:noProof/>
          <w:lang w:val="fr-FR"/>
        </w:rPr>
      </w:r>
      <w:r>
        <w:rPr>
          <w:noProof/>
          <w:lang w:val="fr-FR"/>
        </w:rPr>
        <w:drawing>
          <wp:inline distL="114300" distT="0" distB="0" distR="114300">
            <wp:extent cx="4818877" cy="2671419"/>
            <wp:effectExtent l="0" t="0" r="0" b="0"/>
            <wp:docPr id="105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>
        <w:rPr>
          <w:noProof/>
          <w:lang w:val="fr-FR"/>
        </w:rPr>
      </w:r>
    </w:p>
    <w:bookmarkStart w:id="48" w:name="_Hlk224903701"/>
    <w:p>
      <w:pPr>
        <w:pStyle w:val="style0"/>
        <w:spacing w:after="0"/>
        <w:jc w:val="both"/>
        <w:rPr>
          <w:rFonts w:ascii="Verdana" w:cs="Arial" w:hAnsi="Verdana"/>
          <w:b/>
          <w:color w:val="ee0000"/>
        </w:rPr>
      </w:pPr>
      <w:r>
        <w:rPr>
          <w:rFonts w:ascii="Verdana" w:cs="Arial" w:hAnsi="Verdana"/>
        </w:rPr>
        <w:t xml:space="preserve">Courbe </w:t>
      </w:r>
      <w:r>
        <w:rPr>
          <w:rFonts w:ascii="Verdana" w:cs="Arial" w:hAnsi="Verdana"/>
        </w:rPr>
        <w:t>3</w:t>
      </w:r>
      <w:r>
        <w:rPr>
          <w:rFonts w:ascii="Verdana" w:cs="Arial" w:hAnsi="Verdana"/>
        </w:rPr>
        <w:t xml:space="preserve"> : Evolution </w:t>
      </w:r>
      <w:r>
        <w:rPr>
          <w:rFonts w:ascii="Verdana" w:cs="Arial" w:hAnsi="Verdana"/>
        </w:rPr>
        <w:t xml:space="preserve">par mois, </w:t>
      </w:r>
      <w:r>
        <w:rPr>
          <w:rFonts w:ascii="Verdana" w:cs="Arial" w:hAnsi="Verdana"/>
        </w:rPr>
        <w:t xml:space="preserve">des </w:t>
      </w:r>
      <w:r>
        <w:rPr>
          <w:rFonts w:ascii="Verdana" w:cs="Arial" w:hAnsi="Verdana"/>
        </w:rPr>
        <w:t>nouvelles consultations au CHRM en 2025</w:t>
      </w:r>
    </w:p>
    <w:bookmarkEnd w:id="48"/>
    <w:p>
      <w:pPr>
        <w:pStyle w:val="style0"/>
        <w:ind w:left="710"/>
        <w:jc w:val="both"/>
        <w:rPr>
          <w:rFonts w:ascii="Verdana" w:cs="Arial" w:hAnsi="Verdana"/>
          <w:b/>
        </w:rPr>
      </w:pPr>
    </w:p>
    <w:bookmarkStart w:id="49" w:name="_Toc225355708"/>
    <w:p>
      <w:pPr>
        <w:pStyle w:val="style3"/>
        <w:rPr/>
      </w:pPr>
      <w:r>
        <w:t>L</w:t>
      </w:r>
      <w:r>
        <w:t>es hospitalisations</w:t>
      </w:r>
      <w:bookmarkEnd w:id="49"/>
    </w:p>
    <w:p>
      <w:pPr>
        <w:pStyle w:val="style0"/>
        <w:jc w:val="both"/>
        <w:rPr>
          <w:rFonts w:ascii="Verdana" w:cs="Calibri" w:hAnsi="Verdana"/>
          <w:color w:val="000000"/>
        </w:rPr>
      </w:pPr>
      <w:r>
        <w:rPr>
          <w:rFonts w:ascii="Verdana" w:cs="Arial" w:hAnsi="Verdana"/>
        </w:rPr>
        <w:t>En 2025, 951 patients ont été admis dans les différents services du CHRM soit une moyenne mensuelle de 79</w:t>
      </w:r>
      <w:r>
        <w:rPr>
          <w:rFonts w:ascii="Verdana" w:cs="Calibri" w:hAnsi="Verdana"/>
          <w:color w:val="000000"/>
        </w:rPr>
        <w:t>.</w:t>
      </w:r>
      <w:r>
        <w:rPr>
          <w:rFonts w:ascii="Verdana" w:cs="Calibri" w:hAnsi="Verdana"/>
          <w:color w:val="000000"/>
        </w:rPr>
        <w:t xml:space="preserve"> Le taux d’occupation des lits reste encore très faible.</w:t>
      </w:r>
    </w:p>
    <w:p>
      <w:pPr>
        <w:pStyle w:val="style0"/>
        <w:spacing w:after="0"/>
        <w:jc w:val="both"/>
        <w:rPr>
          <w:rFonts w:ascii="Verdana" w:cs="Arial" w:hAnsi="Verdana"/>
          <w:sz w:val="16"/>
          <w:szCs w:val="16"/>
        </w:rPr>
      </w:pPr>
      <w:r>
        <w:rPr>
          <w:rFonts w:ascii="Verdana" w:cs="Arial" w:hAnsi="Verdana"/>
          <w:b/>
          <w:bCs/>
          <w:sz w:val="16"/>
          <w:szCs w:val="16"/>
          <w:u w:val="single"/>
        </w:rPr>
        <w:t>Tableau </w:t>
      </w:r>
      <w:r>
        <w:rPr>
          <w:rFonts w:ascii="Verdana" w:hAnsi="Verdana"/>
          <w:b/>
          <w:bCs/>
          <w:iCs/>
          <w:sz w:val="16"/>
          <w:szCs w:val="16"/>
          <w:u w:val="single"/>
        </w:rPr>
        <w:t>12</w:t>
      </w:r>
      <w:r>
        <w:rPr>
          <w:rFonts w:ascii="Verdana" w:hAnsi="Verdana"/>
          <w:sz w:val="16"/>
          <w:szCs w:val="16"/>
        </w:rPr>
        <w:t xml:space="preserve"> :</w:t>
      </w:r>
      <w:r>
        <w:rPr>
          <w:rFonts w:ascii="Verdana" w:cs="Arial" w:hAnsi="Verdana"/>
          <w:sz w:val="16"/>
          <w:szCs w:val="16"/>
        </w:rPr>
        <w:t xml:space="preserve"> Distribution par mois des hospitalisations dans les différents services du CHRM en </w:t>
      </w:r>
      <w:r>
        <w:rPr>
          <w:rFonts w:ascii="Verdana" w:cs="Arial" w:hAnsi="Verdana"/>
          <w:sz w:val="16"/>
          <w:szCs w:val="16"/>
        </w:rPr>
        <w:t>2025</w:t>
      </w:r>
    </w:p>
    <w:tbl>
      <w:tblPr>
        <w:tblW w:w="8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1"/>
        <w:gridCol w:w="564"/>
        <w:gridCol w:w="478"/>
        <w:gridCol w:w="594"/>
        <w:gridCol w:w="530"/>
        <w:gridCol w:w="480"/>
        <w:gridCol w:w="518"/>
        <w:gridCol w:w="479"/>
        <w:gridCol w:w="560"/>
        <w:gridCol w:w="577"/>
        <w:gridCol w:w="478"/>
        <w:gridCol w:w="492"/>
        <w:gridCol w:w="517"/>
        <w:gridCol w:w="815"/>
      </w:tblGrid>
      <w:tr>
        <w:trPr>
          <w:trHeight w:val="300" w:hRule="atLeast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  <w:t>Serv</w:t>
            </w:r>
            <w:r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  <w:t xml:space="preserve">ices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  <w:t>Janv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  <w:t>Fev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  <w:t>Mars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  <w:t>Avril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  <w:t>Mai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  <w:t>Juin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  <w:t>Juil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  <w:t xml:space="preserve">Août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  <w:t>Sept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  <w:t>Oct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  <w:t>Nov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  <w:t>Déc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  <w:t>TOTAL</w:t>
            </w:r>
          </w:p>
        </w:tc>
      </w:tr>
      <w:tr>
        <w:tblPrEx/>
        <w:trPr>
          <w:trHeight w:val="58" w:hRule="atLeast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Chirurgie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28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35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25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0"/>
                <w:lang w:eastAsia="fr-CM"/>
              </w:rPr>
              <w:t>265</w:t>
            </w:r>
          </w:p>
        </w:tc>
      </w:tr>
      <w:tr>
        <w:tblPrEx/>
        <w:trPr>
          <w:trHeight w:val="58" w:hRule="atLeast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 xml:space="preserve">Gynéco 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0"/>
                <w:lang w:eastAsia="fr-CM"/>
              </w:rPr>
              <w:t>206</w:t>
            </w:r>
          </w:p>
        </w:tc>
      </w:tr>
      <w:tr>
        <w:tblPrEx/>
        <w:trPr>
          <w:trHeight w:val="58" w:hRule="atLeast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Néonatalogie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0"/>
                <w:lang w:eastAsia="fr-CM"/>
              </w:rPr>
              <w:t>46</w:t>
            </w:r>
          </w:p>
        </w:tc>
      </w:tr>
      <w:tr>
        <w:tblPrEx/>
        <w:trPr>
          <w:trHeight w:val="58" w:hRule="atLeast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Médecine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0"/>
                <w:lang w:eastAsia="fr-CM"/>
              </w:rPr>
              <w:t>111</w:t>
            </w:r>
          </w:p>
        </w:tc>
      </w:tr>
      <w:tr>
        <w:tblPrEx/>
        <w:trPr>
          <w:trHeight w:val="58" w:hRule="atLeast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Pédiatrie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0"/>
                <w:lang w:eastAsia="fr-CM"/>
              </w:rPr>
              <w:t>34</w:t>
            </w:r>
          </w:p>
        </w:tc>
      </w:tr>
      <w:tr>
        <w:tblPrEx/>
        <w:trPr>
          <w:trHeight w:val="58" w:hRule="atLeast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Réanimation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0"/>
                <w:lang w:eastAsia="fr-CM"/>
              </w:rPr>
              <w:t>17</w:t>
            </w:r>
          </w:p>
        </w:tc>
      </w:tr>
      <w:tr>
        <w:tblPrEx/>
        <w:trPr>
          <w:trHeight w:val="58" w:hRule="atLeast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Urgences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28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46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0"/>
                <w:lang w:eastAsia="fr-CM"/>
              </w:rPr>
              <w:t>272</w:t>
            </w:r>
          </w:p>
        </w:tc>
      </w:tr>
      <w:tr>
        <w:tblPrEx/>
        <w:trPr>
          <w:trHeight w:val="58" w:hRule="atLeast"/>
        </w:trPr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  <w:t xml:space="preserve">Total 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  <w:t>58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  <w:t>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  <w:t>55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  <w:t>103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  <w:t>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  <w:t>48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  <w:t>88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  <w:t>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  <w:t>106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  <w:t>81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  <w:t>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  <w:t>122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0"/>
                <w:lang w:eastAsia="fr-CM"/>
              </w:rPr>
              <w:t>951</w:t>
            </w:r>
          </w:p>
        </w:tc>
      </w:tr>
    </w:tbl>
    <w:p>
      <w:pPr>
        <w:pStyle w:val="style0"/>
        <w:jc w:val="both"/>
        <w:rPr>
          <w:rFonts w:ascii="Verdana" w:cs="Arial" w:hAnsi="Verdana"/>
          <w:highlight w:val="yellow"/>
        </w:rPr>
      </w:pPr>
    </w:p>
    <w:tbl>
      <w:tblPr>
        <w:tblpPr w:leftFromText="141" w:rightFromText="141" w:topFromText="0" w:bottomFromText="0" w:vertAnchor="text" w:horzAnchor="margin" w:tblpXSpec="left" w:tblpY="396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8"/>
        <w:gridCol w:w="869"/>
        <w:gridCol w:w="1413"/>
        <w:gridCol w:w="1930"/>
        <w:gridCol w:w="1085"/>
        <w:gridCol w:w="2215"/>
      </w:tblGrid>
      <w:tr>
        <w:trPr>
          <w:trHeight w:val="552" w:hRule="atLeast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b/>
                <w:bCs/>
                <w:color w:val="ffffff"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ffffff"/>
                <w:sz w:val="24"/>
                <w:szCs w:val="24"/>
                <w:lang w:eastAsia="fr-CM"/>
              </w:rPr>
              <w:t>SERVICE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color w:val="ffffff"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ffffff"/>
                <w:sz w:val="24"/>
                <w:szCs w:val="24"/>
                <w:lang w:eastAsia="fr-CM"/>
              </w:rPr>
              <w:t>nbre</w:t>
            </w:r>
            <w:r>
              <w:rPr>
                <w:rFonts w:ascii="Arial" w:cs="Arial" w:eastAsia="Times New Roman" w:hAnsi="Arial"/>
                <w:b/>
                <w:bCs/>
                <w:color w:val="ffffff"/>
                <w:sz w:val="24"/>
                <w:szCs w:val="24"/>
                <w:lang w:eastAsia="fr-CM"/>
              </w:rPr>
              <w:t xml:space="preserve"> lits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color w:val="ffffff"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ffffff"/>
                <w:sz w:val="24"/>
                <w:szCs w:val="24"/>
                <w:lang w:eastAsia="fr-CM"/>
              </w:rPr>
              <w:t>nbre</w:t>
            </w:r>
            <w:r>
              <w:rPr>
                <w:rFonts w:ascii="Arial" w:cs="Arial" w:eastAsia="Times New Roman" w:hAnsi="Arial"/>
                <w:b/>
                <w:bCs/>
                <w:color w:val="ffffff"/>
                <w:sz w:val="24"/>
                <w:szCs w:val="24"/>
                <w:lang w:eastAsia="fr-CM"/>
              </w:rPr>
              <w:t xml:space="preserve"> malades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color w:val="ffffff"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ffffff"/>
                <w:sz w:val="24"/>
                <w:szCs w:val="24"/>
                <w:lang w:eastAsia="fr-CM"/>
              </w:rPr>
              <w:t>cummul</w:t>
            </w:r>
            <w:r>
              <w:rPr>
                <w:rFonts w:ascii="Arial" w:cs="Arial" w:eastAsia="Times New Roman" w:hAnsi="Arial"/>
                <w:b/>
                <w:bCs/>
                <w:color w:val="ffffff"/>
                <w:sz w:val="24"/>
                <w:szCs w:val="24"/>
                <w:lang w:eastAsia="fr-CM"/>
              </w:rPr>
              <w:t xml:space="preserve"> jours d'</w:t>
            </w:r>
            <w:r>
              <w:rPr>
                <w:rFonts w:ascii="Arial" w:cs="Arial" w:eastAsia="Times New Roman" w:hAnsi="Arial"/>
                <w:b/>
                <w:bCs/>
                <w:color w:val="ffffff"/>
                <w:sz w:val="24"/>
                <w:szCs w:val="24"/>
                <w:lang w:eastAsia="fr-CM"/>
              </w:rPr>
              <w:t>hospi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color w:val="ffffff"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ffffff"/>
                <w:sz w:val="24"/>
                <w:szCs w:val="24"/>
                <w:lang w:eastAsia="fr-CM"/>
              </w:rPr>
              <w:t>durée</w:t>
            </w:r>
            <w:r>
              <w:rPr>
                <w:rFonts w:ascii="Arial" w:cs="Arial" w:eastAsia="Times New Roman" w:hAnsi="Arial"/>
                <w:b/>
                <w:bCs/>
                <w:color w:val="ffffff"/>
                <w:sz w:val="24"/>
                <w:szCs w:val="24"/>
                <w:lang w:eastAsia="fr-CM"/>
              </w:rPr>
              <w:t xml:space="preserve"> </w:t>
            </w:r>
            <w:r>
              <w:rPr>
                <w:rFonts w:ascii="Arial" w:cs="Arial" w:eastAsia="Times New Roman" w:hAnsi="Arial"/>
                <w:b/>
                <w:bCs/>
                <w:color w:val="ffffff"/>
                <w:sz w:val="24"/>
                <w:szCs w:val="24"/>
                <w:lang w:eastAsia="fr-CM"/>
              </w:rPr>
              <w:t>moy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color w:val="ffffff"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ffffff"/>
                <w:sz w:val="24"/>
                <w:szCs w:val="24"/>
                <w:lang w:eastAsia="fr-CM"/>
              </w:rPr>
              <w:t>taux</w:t>
            </w:r>
            <w:r>
              <w:rPr>
                <w:rFonts w:ascii="Arial" w:cs="Arial" w:eastAsia="Times New Roman" w:hAnsi="Arial"/>
                <w:b/>
                <w:bCs/>
                <w:color w:val="ffffff"/>
                <w:sz w:val="24"/>
                <w:szCs w:val="24"/>
                <w:lang w:eastAsia="fr-CM"/>
              </w:rPr>
              <w:t xml:space="preserve"> occupat</w:t>
            </w:r>
            <w:r>
              <w:rPr>
                <w:rFonts w:ascii="Arial" w:cs="Arial" w:eastAsia="Times New Roman" w:hAnsi="Arial"/>
                <w:b/>
                <w:bCs/>
                <w:color w:val="ffffff"/>
                <w:sz w:val="24"/>
                <w:szCs w:val="24"/>
                <w:lang w:eastAsia="fr-CM"/>
              </w:rPr>
              <w:t xml:space="preserve">ion </w:t>
            </w:r>
            <w:r>
              <w:rPr>
                <w:rFonts w:ascii="Arial" w:cs="Arial" w:eastAsia="Times New Roman" w:hAnsi="Arial"/>
                <w:b/>
                <w:bCs/>
                <w:color w:val="ffffff"/>
                <w:sz w:val="24"/>
                <w:szCs w:val="24"/>
                <w:lang w:eastAsia="fr-CM"/>
              </w:rPr>
              <w:t xml:space="preserve">des lits </w:t>
            </w:r>
          </w:p>
        </w:tc>
      </w:tr>
      <w:tr>
        <w:tblPrEx/>
        <w:trPr>
          <w:trHeight w:val="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4"/>
                <w:szCs w:val="24"/>
                <w:lang w:eastAsia="fr-CM"/>
              </w:rPr>
              <w:t>Chirurgie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1013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fr-CM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4"/>
                <w:szCs w:val="24"/>
                <w:lang w:eastAsia="fr-CM"/>
              </w:rPr>
              <w:t>9,4</w:t>
            </w:r>
          </w:p>
        </w:tc>
      </w:tr>
      <w:tr>
        <w:tblPrEx/>
        <w:trPr>
          <w:trHeight w:val="3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4"/>
                <w:szCs w:val="24"/>
                <w:lang w:eastAsia="fr-CM"/>
              </w:rPr>
              <w:t>Médecine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fr-CM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4"/>
                <w:szCs w:val="24"/>
                <w:lang w:eastAsia="fr-CM"/>
              </w:rPr>
              <w:t>9,1</w:t>
            </w:r>
          </w:p>
        </w:tc>
      </w:tr>
      <w:tr>
        <w:tblPrEx/>
        <w:trPr>
          <w:trHeight w:val="3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4"/>
                <w:szCs w:val="24"/>
                <w:lang w:eastAsia="fr-CM"/>
              </w:rPr>
              <w:t xml:space="preserve">Gynéco-obst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fr-CM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4"/>
                <w:szCs w:val="24"/>
                <w:lang w:eastAsia="fr-CM"/>
              </w:rPr>
              <w:t>7,0</w:t>
            </w:r>
          </w:p>
        </w:tc>
      </w:tr>
      <w:tr>
        <w:tblPrEx/>
        <w:trPr>
          <w:trHeight w:val="3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4"/>
                <w:szCs w:val="24"/>
                <w:lang w:eastAsia="fr-CM"/>
              </w:rPr>
              <w:t>Pédiatrie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fr-CM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4"/>
                <w:szCs w:val="24"/>
                <w:lang w:eastAsia="fr-CM"/>
              </w:rPr>
              <w:t>2,9</w:t>
            </w:r>
          </w:p>
        </w:tc>
      </w:tr>
      <w:tr>
        <w:tblPrEx/>
        <w:trPr>
          <w:trHeight w:val="3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4"/>
                <w:szCs w:val="24"/>
                <w:lang w:eastAsia="fr-CM"/>
              </w:rPr>
              <w:t>Néonatalogie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fr-CM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4"/>
                <w:szCs w:val="24"/>
                <w:lang w:eastAsia="fr-CM"/>
              </w:rPr>
              <w:t>2,1</w:t>
            </w:r>
          </w:p>
        </w:tc>
      </w:tr>
      <w:tr>
        <w:tblPrEx/>
        <w:trPr>
          <w:trHeight w:val="3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4"/>
                <w:szCs w:val="24"/>
                <w:lang w:eastAsia="fr-CM"/>
              </w:rPr>
              <w:t>Réanimation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fr-CM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4"/>
                <w:szCs w:val="24"/>
                <w:lang w:eastAsia="fr-CM"/>
              </w:rPr>
              <w:t>2,0</w:t>
            </w:r>
          </w:p>
        </w:tc>
      </w:tr>
      <w:tr>
        <w:tblPrEx/>
        <w:trPr>
          <w:trHeight w:val="3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4"/>
                <w:szCs w:val="24"/>
                <w:lang w:eastAsia="fr-CM"/>
              </w:rPr>
              <w:t>Urgences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4"/>
                <w:szCs w:val="24"/>
                <w:lang w:eastAsia="fr-CM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4"/>
                <w:szCs w:val="24"/>
                <w:lang w:eastAsia="fr-CM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sz w:val="24"/>
                <w:szCs w:val="24"/>
                <w:lang w:eastAsia="fr-CM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4"/>
                <w:szCs w:val="24"/>
                <w:lang w:eastAsia="fr-CM"/>
              </w:rPr>
              <w:t>7,7</w:t>
            </w:r>
          </w:p>
        </w:tc>
      </w:tr>
      <w:tr>
        <w:tblPrEx/>
        <w:trPr>
          <w:trHeight w:val="58" w:hRule="atLeast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fr-CM"/>
              </w:rPr>
              <w:t xml:space="preserve">TOTAL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fr-CM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fr-CM"/>
              </w:rPr>
              <w:t>951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fr-CM"/>
              </w:rPr>
              <w:t>2770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sz w:val="24"/>
                <w:szCs w:val="24"/>
                <w:lang w:eastAsia="fr-CM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color w:val="000000"/>
                <w:sz w:val="24"/>
                <w:szCs w:val="24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4"/>
                <w:szCs w:val="24"/>
                <w:lang w:eastAsia="fr-CM"/>
              </w:rPr>
              <w:t>6,4</w:t>
            </w:r>
          </w:p>
        </w:tc>
      </w:tr>
    </w:tbl>
    <w:p>
      <w:pPr>
        <w:pStyle w:val="style0"/>
        <w:jc w:val="both"/>
        <w:rPr>
          <w:rFonts w:ascii="Verdana" w:cs="Arial" w:hAnsi="Verdana"/>
          <w:b/>
          <w:bCs/>
          <w:sz w:val="20"/>
          <w:szCs w:val="20"/>
        </w:rPr>
      </w:pPr>
      <w:r>
        <w:rPr>
          <w:rFonts w:ascii="Verdana" w:cs="Arial" w:hAnsi="Verdana"/>
          <w:b/>
          <w:bCs/>
          <w:sz w:val="20"/>
          <w:szCs w:val="20"/>
          <w:u w:val="single"/>
        </w:rPr>
        <w:t>Tableau </w:t>
      </w:r>
      <w:r>
        <w:rPr>
          <w:rFonts w:ascii="Verdana" w:hAnsi="Verdana"/>
          <w:b/>
          <w:bCs/>
          <w:iCs/>
          <w:sz w:val="20"/>
          <w:szCs w:val="20"/>
          <w:u w:val="single"/>
        </w:rPr>
        <w:t>13</w:t>
      </w:r>
      <w:r>
        <w:rPr>
          <w:rFonts w:ascii="Verdana" w:hAnsi="Verdana"/>
          <w:b/>
          <w:bCs/>
          <w:sz w:val="20"/>
          <w:szCs w:val="20"/>
        </w:rPr>
        <w:t xml:space="preserve"> :</w:t>
      </w:r>
      <w:r>
        <w:rPr>
          <w:rFonts w:ascii="Verdana" w:cs="Arial" w:hAnsi="Verdana"/>
          <w:b/>
          <w:bCs/>
          <w:sz w:val="20"/>
          <w:szCs w:val="20"/>
        </w:rPr>
        <w:t xml:space="preserve"> </w:t>
      </w:r>
      <w:r>
        <w:rPr>
          <w:rFonts w:ascii="Verdana" w:cs="Arial" w:hAnsi="Verdana"/>
          <w:sz w:val="20"/>
          <w:szCs w:val="20"/>
        </w:rPr>
        <w:t>Principaux indicateurs d’hospitalisation à l’HRM en 202</w:t>
      </w:r>
      <w:r>
        <w:rPr>
          <w:rFonts w:ascii="Verdana" w:cs="Arial" w:hAnsi="Verdana"/>
          <w:sz w:val="20"/>
          <w:szCs w:val="20"/>
        </w:rPr>
        <w:t>5</w:t>
      </w:r>
      <w:r>
        <w:rPr>
          <w:rFonts w:ascii="Verdana" w:cs="Arial" w:hAnsi="Verdana"/>
          <w:sz w:val="20"/>
          <w:szCs w:val="20"/>
        </w:rPr>
        <w:t xml:space="preserve"> </w:t>
      </w:r>
    </w:p>
    <w:p>
      <w:pPr>
        <w:pStyle w:val="style0"/>
        <w:jc w:val="both"/>
        <w:rPr>
          <w:rFonts w:ascii="Verdana" w:cs="Arial" w:hAnsi="Verdana"/>
          <w:b/>
          <w:bCs/>
          <w:highlight w:val="yellow"/>
        </w:rPr>
      </w:pPr>
    </w:p>
    <w:bookmarkStart w:id="50" w:name="_Toc412494546"/>
    <w:p>
      <w:pPr>
        <w:pStyle w:val="style0"/>
        <w:jc w:val="both"/>
        <w:rPr>
          <w:rFonts w:ascii="Verdana" w:cs="Arial" w:hAnsi="Verdana"/>
          <w:bCs/>
          <w:sz w:val="24"/>
          <w:szCs w:val="24"/>
          <w:highlight w:val="yellow"/>
        </w:rPr>
      </w:pPr>
      <w:r>
        <w:rPr>
          <w:rFonts w:ascii="Verdana" w:cs="Arial" w:hAnsi="Verdana"/>
          <w:bCs/>
          <w:sz w:val="24"/>
          <w:szCs w:val="24"/>
        </w:rPr>
        <w:t>En moyenne, 36 patients ont été opérés chaque mois dans nos blocs opératoires</w:t>
      </w:r>
      <w:r>
        <w:rPr>
          <w:rFonts w:ascii="Verdana" w:cs="Arial" w:hAnsi="Verdana"/>
          <w:bCs/>
          <w:sz w:val="24"/>
          <w:szCs w:val="24"/>
        </w:rPr>
        <w:t>.</w:t>
      </w:r>
    </w:p>
    <w:p>
      <w:pPr>
        <w:pStyle w:val="style0"/>
        <w:spacing w:after="0"/>
        <w:jc w:val="both"/>
        <w:rPr>
          <w:rFonts w:ascii="Verdana" w:cs="Arial" w:hAnsi="Verdana"/>
          <w:sz w:val="20"/>
          <w:szCs w:val="20"/>
        </w:rPr>
      </w:pPr>
      <w:r>
        <w:rPr>
          <w:rFonts w:ascii="Verdana" w:cs="Arial" w:hAnsi="Verdana"/>
          <w:b/>
          <w:bCs/>
          <w:sz w:val="20"/>
          <w:szCs w:val="20"/>
          <w:u w:val="single"/>
        </w:rPr>
        <w:t>Tableau </w:t>
      </w:r>
      <w:r>
        <w:rPr>
          <w:rFonts w:ascii="Verdana" w:hAnsi="Verdana"/>
          <w:b/>
          <w:bCs/>
          <w:iCs/>
          <w:sz w:val="20"/>
          <w:szCs w:val="20"/>
          <w:u w:val="single"/>
        </w:rPr>
        <w:t>14</w:t>
      </w:r>
      <w:r>
        <w:rPr>
          <w:rFonts w:ascii="Verdana" w:hAnsi="Verdana"/>
          <w:bCs/>
          <w:iCs/>
          <w:sz w:val="20"/>
          <w:szCs w:val="20"/>
        </w:rPr>
        <w:t> :</w:t>
      </w:r>
      <w:r>
        <w:rPr>
          <w:rFonts w:ascii="Verdana" w:cs="Arial" w:hAnsi="Verdana"/>
          <w:sz w:val="20"/>
          <w:szCs w:val="20"/>
        </w:rPr>
        <w:t xml:space="preserve"> Distribution par sexe et par mois des différentes </w:t>
      </w:r>
      <w:r>
        <w:rPr>
          <w:rFonts w:ascii="Verdana" w:cs="Arial" w:hAnsi="Verdana"/>
          <w:sz w:val="20"/>
          <w:szCs w:val="20"/>
        </w:rPr>
        <w:t>catégories d’</w:t>
      </w:r>
      <w:r>
        <w:rPr>
          <w:rFonts w:ascii="Verdana" w:cs="Arial" w:hAnsi="Verdana"/>
          <w:sz w:val="20"/>
          <w:szCs w:val="20"/>
        </w:rPr>
        <w:t xml:space="preserve">interventions </w:t>
      </w:r>
      <w:r>
        <w:rPr>
          <w:rFonts w:ascii="Verdana" w:cs="Arial" w:hAnsi="Verdana"/>
          <w:sz w:val="20"/>
          <w:szCs w:val="20"/>
        </w:rPr>
        <w:t xml:space="preserve">au </w:t>
      </w:r>
      <w:r>
        <w:rPr>
          <w:rFonts w:ascii="Verdana" w:cs="Arial" w:hAnsi="Verdana"/>
          <w:sz w:val="20"/>
          <w:szCs w:val="20"/>
        </w:rPr>
        <w:t xml:space="preserve">bloc opératoire </w:t>
      </w:r>
      <w:r>
        <w:rPr>
          <w:rFonts w:ascii="Verdana" w:cs="Arial" w:hAnsi="Verdana"/>
          <w:sz w:val="20"/>
          <w:szCs w:val="20"/>
        </w:rPr>
        <w:t>du CHRM en 2025</w:t>
      </w:r>
    </w:p>
    <w:tbl>
      <w:tblPr>
        <w:tblW w:w="90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710"/>
        <w:gridCol w:w="591"/>
        <w:gridCol w:w="402"/>
        <w:gridCol w:w="496"/>
        <w:gridCol w:w="475"/>
        <w:gridCol w:w="396"/>
        <w:gridCol w:w="437"/>
        <w:gridCol w:w="383"/>
        <w:gridCol w:w="485"/>
        <w:gridCol w:w="482"/>
        <w:gridCol w:w="393"/>
        <w:gridCol w:w="430"/>
        <w:gridCol w:w="421"/>
        <w:gridCol w:w="562"/>
      </w:tblGrid>
      <w:tr>
        <w:trPr>
          <w:trHeight w:val="39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  <w:t>SPECIALITES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ffffff"/>
                <w:sz w:val="18"/>
                <w:szCs w:val="18"/>
                <w:lang w:eastAsia="fr-CM"/>
              </w:rPr>
              <w:t>Sex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ffffff"/>
                <w:sz w:val="18"/>
                <w:szCs w:val="18"/>
                <w:lang w:eastAsia="fr-CM"/>
              </w:rPr>
              <w:t>Janv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ffffff"/>
                <w:sz w:val="18"/>
                <w:szCs w:val="18"/>
                <w:lang w:eastAsia="fr-CM"/>
              </w:rPr>
              <w:t>Fév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ffffff"/>
                <w:sz w:val="18"/>
                <w:szCs w:val="18"/>
                <w:lang w:eastAsia="fr-CM"/>
              </w:rPr>
              <w:t>Mars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ffffff"/>
                <w:sz w:val="18"/>
                <w:szCs w:val="18"/>
                <w:lang w:eastAsia="fr-CM"/>
              </w:rPr>
              <w:t>Avril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ffffff"/>
                <w:sz w:val="18"/>
                <w:szCs w:val="18"/>
                <w:lang w:eastAsia="fr-CM"/>
              </w:rPr>
              <w:t>Mai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ffffff"/>
                <w:sz w:val="18"/>
                <w:szCs w:val="18"/>
                <w:lang w:eastAsia="fr-CM"/>
              </w:rPr>
              <w:t>Juin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ffffff"/>
                <w:sz w:val="18"/>
                <w:szCs w:val="18"/>
                <w:lang w:eastAsia="fr-CM"/>
              </w:rPr>
              <w:t>Juil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ffffff"/>
                <w:sz w:val="18"/>
                <w:szCs w:val="18"/>
                <w:lang w:eastAsia="fr-CM"/>
              </w:rPr>
              <w:t>Août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ffffff"/>
                <w:sz w:val="18"/>
                <w:szCs w:val="18"/>
                <w:lang w:eastAsia="fr-CM"/>
              </w:rPr>
              <w:t>Sept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ffffff"/>
                <w:sz w:val="18"/>
                <w:szCs w:val="18"/>
                <w:lang w:eastAsia="fr-CM"/>
              </w:rPr>
              <w:t>Oct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ffffff"/>
                <w:sz w:val="18"/>
                <w:szCs w:val="18"/>
                <w:lang w:eastAsia="fr-CM"/>
              </w:rPr>
              <w:t>Nov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ffffff"/>
                <w:sz w:val="18"/>
                <w:szCs w:val="18"/>
                <w:lang w:eastAsia="fr-CM"/>
              </w:rPr>
              <w:t>Déc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8"/>
                <w:szCs w:val="18"/>
                <w:lang w:eastAsia="fr-CM"/>
              </w:rPr>
              <w:t>Total</w:t>
            </w:r>
          </w:p>
        </w:tc>
      </w:tr>
      <w:tr>
        <w:tblPrEx/>
        <w:trPr>
          <w:trHeight w:val="52" w:hRule="atLeast"/>
        </w:trPr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ORTHOPEDIE/TRAUMATOLOGIE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M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3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3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7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7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7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47</w:t>
            </w:r>
          </w:p>
        </w:tc>
      </w:tr>
      <w:tr>
        <w:tblPrEx/>
        <w:trPr>
          <w:trHeight w:val="52" w:hRule="atLeast"/>
        </w:trPr>
        <w:tc>
          <w:tcPr>
            <w:tcW w:w="241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F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2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19</w:t>
            </w:r>
          </w:p>
        </w:tc>
      </w:tr>
      <w:tr>
        <w:tblPrEx/>
        <w:trPr>
          <w:trHeight w:val="52" w:hRule="atLeast"/>
        </w:trPr>
        <w:tc>
          <w:tcPr>
            <w:tcW w:w="241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T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3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4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2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9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8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8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66</w:t>
            </w:r>
          </w:p>
        </w:tc>
      </w:tr>
      <w:tr>
        <w:tblPrEx/>
        <w:trPr>
          <w:trHeight w:val="52" w:hRule="atLeast"/>
        </w:trPr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DIGESTIVE VISCERALE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M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1</w:t>
            </w:r>
          </w:p>
        </w:tc>
      </w:tr>
      <w:tr>
        <w:tblPrEx/>
        <w:trPr>
          <w:trHeight w:val="52" w:hRule="atLeast"/>
        </w:trPr>
        <w:tc>
          <w:tcPr>
            <w:tcW w:w="241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F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</w:tr>
      <w:tr>
        <w:tblPrEx/>
        <w:trPr>
          <w:trHeight w:val="52" w:hRule="atLeast"/>
        </w:trPr>
        <w:tc>
          <w:tcPr>
            <w:tcW w:w="241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T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</w:t>
            </w:r>
          </w:p>
        </w:tc>
      </w:tr>
      <w:tr>
        <w:tblPrEx/>
        <w:trPr>
          <w:trHeight w:val="52" w:hRule="atLeast"/>
        </w:trPr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CHIRURGIE PEDIATRIQUE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M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3</w:t>
            </w:r>
          </w:p>
        </w:tc>
      </w:tr>
      <w:tr>
        <w:tblPrEx/>
        <w:trPr>
          <w:trHeight w:val="52" w:hRule="atLeast"/>
        </w:trPr>
        <w:tc>
          <w:tcPr>
            <w:tcW w:w="241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F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1</w:t>
            </w:r>
          </w:p>
        </w:tc>
      </w:tr>
      <w:tr>
        <w:tblPrEx/>
        <w:trPr>
          <w:trHeight w:val="52" w:hRule="atLeast"/>
        </w:trPr>
        <w:tc>
          <w:tcPr>
            <w:tcW w:w="241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T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2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4</w:t>
            </w:r>
          </w:p>
        </w:tc>
      </w:tr>
      <w:tr>
        <w:tblPrEx/>
        <w:trPr>
          <w:trHeight w:val="52" w:hRule="atLeast"/>
        </w:trPr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GYNECO-OBSTETRIQUE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M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</w:tr>
      <w:tr>
        <w:tblPrEx/>
        <w:trPr>
          <w:trHeight w:val="81" w:hRule="atLeast"/>
        </w:trPr>
        <w:tc>
          <w:tcPr>
            <w:tcW w:w="241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F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8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14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14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7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12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15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9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22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148</w:t>
            </w:r>
          </w:p>
        </w:tc>
      </w:tr>
      <w:tr>
        <w:tblPrEx/>
        <w:trPr>
          <w:trHeight w:val="81" w:hRule="atLeast"/>
        </w:trPr>
        <w:tc>
          <w:tcPr>
            <w:tcW w:w="241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T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8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14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14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7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  <w:t>12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15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9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22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148</w:t>
            </w:r>
          </w:p>
        </w:tc>
      </w:tr>
      <w:tr>
        <w:tblPrEx/>
        <w:trPr>
          <w:trHeight w:val="81" w:hRule="atLeast"/>
        </w:trPr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MAXILLO-FACIAL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M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3</w:t>
            </w:r>
          </w:p>
        </w:tc>
      </w:tr>
      <w:tr>
        <w:tblPrEx/>
        <w:trPr>
          <w:trHeight w:val="81" w:hRule="atLeast"/>
        </w:trPr>
        <w:tc>
          <w:tcPr>
            <w:tcW w:w="241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F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1</w:t>
            </w:r>
          </w:p>
        </w:tc>
      </w:tr>
      <w:tr>
        <w:tblPrEx/>
        <w:trPr>
          <w:trHeight w:val="81" w:hRule="atLeast"/>
        </w:trPr>
        <w:tc>
          <w:tcPr>
            <w:tcW w:w="241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T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4</w:t>
            </w:r>
          </w:p>
        </w:tc>
      </w:tr>
      <w:tr>
        <w:tblPrEx/>
        <w:trPr>
          <w:trHeight w:val="81" w:hRule="atLeast"/>
        </w:trPr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ORL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M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</w:tr>
      <w:tr>
        <w:tblPrEx/>
        <w:trPr>
          <w:trHeight w:val="81" w:hRule="atLeast"/>
        </w:trPr>
        <w:tc>
          <w:tcPr>
            <w:tcW w:w="241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F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</w:tr>
      <w:tr>
        <w:tblPrEx/>
        <w:trPr>
          <w:trHeight w:val="81" w:hRule="atLeast"/>
        </w:trPr>
        <w:tc>
          <w:tcPr>
            <w:tcW w:w="241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T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0</w:t>
            </w:r>
          </w:p>
        </w:tc>
      </w:tr>
      <w:tr>
        <w:tblPrEx/>
        <w:trPr>
          <w:trHeight w:val="81" w:hRule="atLeast"/>
        </w:trPr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UROLOGIE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M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25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22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4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6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  <w:t>17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7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6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6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152</w:t>
            </w:r>
          </w:p>
        </w:tc>
      </w:tr>
      <w:tr>
        <w:tblPrEx/>
        <w:trPr>
          <w:trHeight w:val="81" w:hRule="atLeast"/>
        </w:trPr>
        <w:tc>
          <w:tcPr>
            <w:tcW w:w="241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F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9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4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5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31</w:t>
            </w:r>
          </w:p>
        </w:tc>
      </w:tr>
      <w:tr>
        <w:tblPrEx/>
        <w:trPr>
          <w:trHeight w:val="81" w:hRule="atLeast"/>
        </w:trPr>
        <w:tc>
          <w:tcPr>
            <w:tcW w:w="241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T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34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20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27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5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6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  <w:t>17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12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7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183</w:t>
            </w:r>
          </w:p>
        </w:tc>
      </w:tr>
      <w:tr>
        <w:tblPrEx/>
        <w:trPr>
          <w:trHeight w:val="81" w:hRule="atLeast"/>
        </w:trPr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OPHTALMOLOGIE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M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3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3</w:t>
            </w:r>
          </w:p>
        </w:tc>
      </w:tr>
      <w:tr>
        <w:tblPrEx/>
        <w:trPr>
          <w:trHeight w:val="81" w:hRule="atLeast"/>
        </w:trPr>
        <w:tc>
          <w:tcPr>
            <w:tcW w:w="241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F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1</w:t>
            </w:r>
          </w:p>
        </w:tc>
      </w:tr>
      <w:tr>
        <w:tblPrEx/>
        <w:trPr>
          <w:trHeight w:val="81" w:hRule="atLeast"/>
        </w:trPr>
        <w:tc>
          <w:tcPr>
            <w:tcW w:w="241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T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4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4</w:t>
            </w:r>
          </w:p>
        </w:tc>
      </w:tr>
      <w:tr>
        <w:tblPrEx/>
        <w:trPr>
          <w:trHeight w:val="81" w:hRule="atLeast"/>
        </w:trPr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NEUROCHIRURGIE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M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2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6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2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15</w:t>
            </w:r>
          </w:p>
        </w:tc>
      </w:tr>
      <w:tr>
        <w:tblPrEx/>
        <w:trPr>
          <w:trHeight w:val="81" w:hRule="atLeast"/>
        </w:trPr>
        <w:tc>
          <w:tcPr>
            <w:tcW w:w="241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F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4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7</w:t>
            </w:r>
          </w:p>
        </w:tc>
      </w:tr>
      <w:tr>
        <w:tblPrEx/>
        <w:trPr>
          <w:trHeight w:val="81" w:hRule="atLeast"/>
        </w:trPr>
        <w:tc>
          <w:tcPr>
            <w:tcW w:w="241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T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3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2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7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2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8"/>
                <w:szCs w:val="18"/>
                <w:lang w:eastAsia="fr-CM"/>
              </w:rPr>
              <w:t>5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22</w:t>
            </w:r>
          </w:p>
        </w:tc>
      </w:tr>
      <w:tr>
        <w:tblPrEx/>
        <w:trPr>
          <w:trHeight w:val="285" w:hRule="atLeast"/>
        </w:trPr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TOTAL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M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31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28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9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9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6"/>
                <w:szCs w:val="16"/>
                <w:lang w:eastAsia="fr-CM"/>
              </w:rPr>
              <w:t>24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21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6"/>
                <w:szCs w:val="16"/>
                <w:lang w:eastAsia="fr-CM"/>
              </w:rPr>
              <w:t>18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15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8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224</w:t>
            </w:r>
          </w:p>
        </w:tc>
      </w:tr>
      <w:tr>
        <w:tblPrEx/>
        <w:trPr>
          <w:trHeight w:val="285" w:hRule="atLeast"/>
        </w:trPr>
        <w:tc>
          <w:tcPr>
            <w:tcW w:w="241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8"/>
                <w:szCs w:val="18"/>
                <w:lang w:eastAsia="fr-CM"/>
              </w:rPr>
              <w:t>F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18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24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17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9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6"/>
                <w:szCs w:val="16"/>
                <w:lang w:eastAsia="fr-CM"/>
              </w:rPr>
              <w:t>14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23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6"/>
                <w:szCs w:val="16"/>
                <w:lang w:eastAsia="fr-CM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11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30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208</w:t>
            </w:r>
          </w:p>
        </w:tc>
      </w:tr>
      <w:tr>
        <w:tblPrEx/>
        <w:trPr>
          <w:trHeight w:val="300" w:hRule="atLeast"/>
        </w:trPr>
        <w:tc>
          <w:tcPr>
            <w:tcW w:w="3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8"/>
                <w:szCs w:val="18"/>
                <w:lang w:eastAsia="fr-CM"/>
              </w:rPr>
              <w:t>TOTAL GENERAL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b0f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b0f0"/>
                <w:sz w:val="18"/>
                <w:szCs w:val="18"/>
                <w:lang w:eastAsia="fr-CM"/>
              </w:rPr>
              <w:t>49</w:t>
            </w:r>
          </w:p>
        </w:tc>
        <w:tc>
          <w:tcPr>
            <w:tcW w:w="40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b0f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b0f0"/>
                <w:sz w:val="18"/>
                <w:szCs w:val="18"/>
                <w:lang w:eastAsia="fr-CM"/>
              </w:rPr>
              <w:t>47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b0f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b0f0"/>
                <w:sz w:val="18"/>
                <w:szCs w:val="18"/>
                <w:lang w:eastAsia="fr-CM"/>
              </w:rPr>
              <w:t>32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b0f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b0f0"/>
                <w:sz w:val="18"/>
                <w:szCs w:val="18"/>
                <w:lang w:eastAsia="fr-CM"/>
              </w:rPr>
              <w:t>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b0f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b0f0"/>
                <w:sz w:val="18"/>
                <w:szCs w:val="18"/>
                <w:lang w:eastAsia="fr-CM"/>
              </w:rPr>
              <w:t>26</w:t>
            </w:r>
          </w:p>
        </w:tc>
        <w:tc>
          <w:tcPr>
            <w:tcW w:w="43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b0f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b0f0"/>
                <w:sz w:val="18"/>
                <w:szCs w:val="18"/>
                <w:lang w:eastAsia="fr-CM"/>
              </w:rPr>
              <w:t>18</w:t>
            </w:r>
          </w:p>
        </w:tc>
        <w:tc>
          <w:tcPr>
            <w:tcW w:w="38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b0f0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b0f0"/>
                <w:sz w:val="16"/>
                <w:szCs w:val="16"/>
                <w:lang w:eastAsia="fr-CM"/>
              </w:rPr>
              <w:t>38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b0f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b0f0"/>
                <w:sz w:val="18"/>
                <w:szCs w:val="18"/>
                <w:lang w:eastAsia="fr-CM"/>
              </w:rPr>
              <w:t>34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b0f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b0f0"/>
                <w:sz w:val="18"/>
                <w:szCs w:val="18"/>
                <w:lang w:eastAsia="fr-CM"/>
              </w:rPr>
              <w:t>44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b0f0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b0f0"/>
                <w:sz w:val="16"/>
                <w:szCs w:val="16"/>
                <w:lang w:eastAsia="fr-CM"/>
              </w:rPr>
              <w:t>28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b0f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b0f0"/>
                <w:sz w:val="18"/>
                <w:szCs w:val="18"/>
                <w:lang w:eastAsia="fr-CM"/>
              </w:rPr>
              <w:t>26</w:t>
            </w:r>
          </w:p>
        </w:tc>
        <w:tc>
          <w:tcPr>
            <w:tcW w:w="42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b0f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b0f0"/>
                <w:sz w:val="18"/>
                <w:szCs w:val="18"/>
                <w:lang w:eastAsia="fr-CM"/>
              </w:rPr>
              <w:t>38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b0f0"/>
                <w:sz w:val="18"/>
                <w:szCs w:val="1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b0f0"/>
                <w:sz w:val="18"/>
                <w:szCs w:val="18"/>
                <w:lang w:eastAsia="fr-CM"/>
              </w:rPr>
              <w:t>432</w:t>
            </w:r>
          </w:p>
        </w:tc>
      </w:tr>
    </w:tbl>
    <w:p>
      <w:pPr>
        <w:pStyle w:val="style0"/>
        <w:jc w:val="both"/>
        <w:rPr>
          <w:rFonts w:ascii="Verdana" w:cs="Arial" w:hAnsi="Verdana"/>
          <w:b/>
          <w:highlight w:val="yellow"/>
          <w:u w:val="single"/>
        </w:rPr>
      </w:pPr>
    </w:p>
    <w:p>
      <w:pPr>
        <w:pStyle w:val="style0"/>
        <w:spacing w:after="0"/>
        <w:jc w:val="both"/>
        <w:rPr>
          <w:rFonts w:ascii="Verdana" w:cs="Arial" w:hAnsi="Verdana"/>
          <w:b/>
          <w:highlight w:val="yellow"/>
          <w:u w:val="single"/>
        </w:rPr>
      </w:pPr>
      <w:r>
        <w:rPr>
          <w:noProof/>
          <w:lang w:val="fr-FR"/>
        </w:rPr>
      </w:r>
      <w:r>
        <w:rPr>
          <w:noProof/>
          <w:lang w:val="fr-FR"/>
        </w:rPr>
      </w:r>
      <w:r>
        <w:rPr>
          <w:noProof/>
          <w:lang w:val="fr-FR"/>
        </w:rPr>
      </w:r>
      <w:r>
        <w:rPr>
          <w:noProof/>
          <w:lang w:val="fr-FR"/>
        </w:rPr>
        <w:drawing>
          <wp:inline distL="114300" distT="0" distB="0" distR="114300">
            <wp:extent cx="4583665" cy="2758612"/>
            <wp:effectExtent l="0" t="0" r="0" b="0"/>
            <wp:docPr id="105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  <w:r>
        <w:rPr>
          <w:noProof/>
          <w:lang w:val="fr-FR"/>
        </w:rPr>
      </w:r>
    </w:p>
    <w:p>
      <w:pPr>
        <w:pStyle w:val="style0"/>
        <w:spacing w:after="0"/>
        <w:jc w:val="both"/>
        <w:rPr>
          <w:rFonts w:ascii="Verdana" w:cs="Arial" w:hAnsi="Verdana"/>
          <w:b/>
          <w:color w:val="ee0000"/>
          <w:sz w:val="20"/>
          <w:szCs w:val="20"/>
        </w:rPr>
      </w:pPr>
      <w:r>
        <w:rPr>
          <w:rFonts w:ascii="Verdana" w:cs="Arial" w:hAnsi="Verdana"/>
          <w:sz w:val="20"/>
          <w:szCs w:val="20"/>
        </w:rPr>
        <w:t xml:space="preserve">Courbe </w:t>
      </w:r>
      <w:r>
        <w:rPr>
          <w:rFonts w:ascii="Verdana" w:cs="Arial" w:hAnsi="Verdana"/>
          <w:sz w:val="20"/>
          <w:szCs w:val="20"/>
        </w:rPr>
        <w:t>4</w:t>
      </w:r>
      <w:r>
        <w:rPr>
          <w:rFonts w:ascii="Verdana" w:cs="Arial" w:hAnsi="Verdana"/>
          <w:sz w:val="20"/>
          <w:szCs w:val="20"/>
        </w:rPr>
        <w:t xml:space="preserve"> : Evolution </w:t>
      </w:r>
      <w:r>
        <w:rPr>
          <w:rFonts w:ascii="Verdana" w:cs="Arial" w:hAnsi="Verdana"/>
          <w:sz w:val="20"/>
          <w:szCs w:val="20"/>
        </w:rPr>
        <w:t xml:space="preserve">par mois, </w:t>
      </w:r>
      <w:r>
        <w:rPr>
          <w:rFonts w:ascii="Verdana" w:cs="Arial" w:hAnsi="Verdana"/>
          <w:sz w:val="20"/>
          <w:szCs w:val="20"/>
        </w:rPr>
        <w:t xml:space="preserve">des </w:t>
      </w:r>
      <w:r>
        <w:rPr>
          <w:rFonts w:ascii="Verdana" w:cs="Arial" w:hAnsi="Verdana"/>
          <w:sz w:val="20"/>
          <w:szCs w:val="20"/>
        </w:rPr>
        <w:t>interventions chirurgicales réalisées</w:t>
      </w:r>
      <w:r>
        <w:rPr>
          <w:rFonts w:ascii="Verdana" w:cs="Arial" w:hAnsi="Verdana"/>
          <w:sz w:val="20"/>
          <w:szCs w:val="20"/>
        </w:rPr>
        <w:t xml:space="preserve"> au CHRM en 2025</w:t>
      </w:r>
    </w:p>
    <w:p>
      <w:pPr>
        <w:pStyle w:val="style0"/>
        <w:jc w:val="both"/>
        <w:rPr>
          <w:rFonts w:ascii="Verdana" w:cs="Arial" w:hAnsi="Verdana"/>
          <w:b/>
          <w:u w:val="single"/>
        </w:rPr>
      </w:pPr>
    </w:p>
    <w:p>
      <w:pPr>
        <w:pStyle w:val="style0"/>
        <w:jc w:val="both"/>
        <w:rPr>
          <w:rFonts w:ascii="Verdana" w:cs="Arial" w:hAnsi="Verdana"/>
          <w:bCs/>
        </w:rPr>
      </w:pPr>
      <w:r>
        <w:rPr>
          <w:rFonts w:ascii="Verdana" w:cs="Arial" w:hAnsi="Verdana"/>
          <w:bCs/>
        </w:rPr>
        <w:t xml:space="preserve">En plus de cette activité quotidienne, une campagne de santé gratuite </w:t>
      </w:r>
      <w:r>
        <w:rPr>
          <w:rFonts w:ascii="Verdana" w:cs="Arial" w:hAnsi="Verdana"/>
          <w:bCs/>
        </w:rPr>
        <w:t>avai</w:t>
      </w:r>
      <w:r>
        <w:rPr>
          <w:rFonts w:ascii="Verdana" w:cs="Arial" w:hAnsi="Verdana"/>
          <w:bCs/>
        </w:rPr>
        <w:t xml:space="preserve">t </w:t>
      </w:r>
      <w:r>
        <w:rPr>
          <w:rFonts w:ascii="Verdana" w:cs="Arial" w:hAnsi="Verdana"/>
          <w:bCs/>
        </w:rPr>
        <w:t>été</w:t>
      </w:r>
      <w:r>
        <w:rPr>
          <w:rFonts w:ascii="Verdana" w:cs="Arial" w:hAnsi="Verdana"/>
          <w:bCs/>
        </w:rPr>
        <w:t xml:space="preserve"> organisée au mois de juin 2025 par le</w:t>
      </w:r>
      <w:r>
        <w:rPr>
          <w:rFonts w:ascii="Verdana" w:cs="Arial" w:hAnsi="Verdana"/>
          <w:bCs/>
        </w:rPr>
        <w:t xml:space="preserve"> Ministre de la santé publique ;</w:t>
      </w:r>
      <w:r>
        <w:rPr>
          <w:rFonts w:ascii="Verdana" w:cs="Arial" w:hAnsi="Verdana"/>
          <w:bCs/>
        </w:rPr>
        <w:t xml:space="preserve"> au cour</w:t>
      </w:r>
      <w:r>
        <w:rPr>
          <w:rFonts w:ascii="Verdana" w:cs="Arial" w:hAnsi="Verdana"/>
          <w:bCs/>
        </w:rPr>
        <w:t>s</w:t>
      </w:r>
      <w:r>
        <w:rPr>
          <w:rFonts w:ascii="Verdana" w:cs="Arial" w:hAnsi="Verdana"/>
          <w:bCs/>
        </w:rPr>
        <w:t xml:space="preserve"> de cette campagne, 154 patients avaient été opérés gratuitement.</w:t>
      </w:r>
    </w:p>
    <w:bookmarkStart w:id="51" w:name="_Toc225355709"/>
    <w:p>
      <w:pPr>
        <w:pStyle w:val="style3"/>
        <w:rPr/>
      </w:pPr>
      <w:r>
        <w:t>P</w:t>
      </w:r>
      <w:r>
        <w:t>rincipales activit</w:t>
      </w:r>
      <w:r>
        <w:t>é</w:t>
      </w:r>
      <w:r>
        <w:t>s d</w:t>
      </w:r>
      <w:bookmarkStart w:id="52" w:name="_Toc412494547"/>
      <w:bookmarkEnd w:id="50"/>
      <w:r>
        <w:t>’imagerie m</w:t>
      </w:r>
      <w:r>
        <w:t>é</w:t>
      </w:r>
      <w:r>
        <w:t>dicale</w:t>
      </w:r>
      <w:bookmarkEnd w:id="51"/>
    </w:p>
    <w:p>
      <w:pPr>
        <w:pStyle w:val="style0"/>
        <w:jc w:val="both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 xml:space="preserve">Le </w:t>
      </w:r>
      <w:r>
        <w:rPr>
          <w:rFonts w:ascii="Verdana" w:cs="Arial" w:hAnsi="Verdana"/>
          <w:sz w:val="24"/>
          <w:szCs w:val="24"/>
        </w:rPr>
        <w:t>service</w:t>
      </w:r>
      <w:r>
        <w:rPr>
          <w:rFonts w:ascii="Verdana" w:cs="Arial" w:hAnsi="Verdana"/>
          <w:sz w:val="24"/>
          <w:szCs w:val="24"/>
        </w:rPr>
        <w:t xml:space="preserve"> d’imagerie médicale a </w:t>
      </w:r>
      <w:r>
        <w:rPr>
          <w:rFonts w:ascii="Verdana" w:cs="Arial" w:hAnsi="Verdana"/>
          <w:sz w:val="24"/>
          <w:szCs w:val="24"/>
        </w:rPr>
        <w:t>réalisé u</w:t>
      </w:r>
      <w:r>
        <w:rPr>
          <w:rFonts w:ascii="Verdana" w:cs="Arial" w:hAnsi="Verdana"/>
          <w:sz w:val="24"/>
          <w:szCs w:val="24"/>
        </w:rPr>
        <w:t>n</w:t>
      </w:r>
      <w:r>
        <w:rPr>
          <w:rFonts w:ascii="Verdana" w:cs="Arial" w:hAnsi="Verdana"/>
          <w:sz w:val="24"/>
          <w:szCs w:val="24"/>
        </w:rPr>
        <w:t xml:space="preserve"> total</w:t>
      </w:r>
      <w:r>
        <w:rPr>
          <w:rFonts w:ascii="Verdana" w:cs="Arial" w:hAnsi="Verdana"/>
          <w:sz w:val="24"/>
          <w:szCs w:val="24"/>
        </w:rPr>
        <w:t xml:space="preserve"> de </w:t>
      </w:r>
      <w:r>
        <w:rPr>
          <w:rFonts w:ascii="Verdana" w:cs="Arial" w:hAnsi="Verdana"/>
          <w:sz w:val="24"/>
          <w:szCs w:val="24"/>
        </w:rPr>
        <w:t>4439</w:t>
      </w:r>
      <w:r>
        <w:rPr>
          <w:rFonts w:ascii="Verdana" w:cs="Arial" w:hAnsi="Verdana"/>
          <w:sz w:val="24"/>
          <w:szCs w:val="24"/>
        </w:rPr>
        <w:t xml:space="preserve"> examens </w:t>
      </w:r>
      <w:r>
        <w:rPr>
          <w:rFonts w:ascii="Verdana" w:cs="Arial" w:hAnsi="Verdana"/>
          <w:sz w:val="24"/>
          <w:szCs w:val="24"/>
        </w:rPr>
        <w:t xml:space="preserve">au cours de l’année 2025 </w:t>
      </w:r>
      <w:r>
        <w:rPr>
          <w:rFonts w:ascii="Verdana" w:cs="Arial" w:hAnsi="Verdana"/>
          <w:sz w:val="24"/>
          <w:szCs w:val="24"/>
        </w:rPr>
        <w:t xml:space="preserve">soit une moyenne mensuelle de </w:t>
      </w:r>
      <w:r>
        <w:rPr>
          <w:rFonts w:ascii="Verdana" w:cs="Arial" w:hAnsi="Verdana"/>
          <w:sz w:val="24"/>
          <w:szCs w:val="24"/>
        </w:rPr>
        <w:t>370</w:t>
      </w:r>
      <w:r>
        <w:rPr>
          <w:rFonts w:ascii="Verdana" w:cs="Arial" w:hAnsi="Verdana"/>
          <w:sz w:val="24"/>
          <w:szCs w:val="24"/>
        </w:rPr>
        <w:t xml:space="preserve"> examens.</w:t>
      </w:r>
      <w:r>
        <w:rPr>
          <w:rFonts w:ascii="Verdana" w:cs="Arial" w:hAnsi="Verdana"/>
          <w:sz w:val="24"/>
          <w:szCs w:val="24"/>
        </w:rPr>
        <w:t xml:space="preserve"> 57</w:t>
      </w:r>
      <w:r>
        <w:rPr>
          <w:rFonts w:ascii="Verdana" w:cs="Arial" w:hAnsi="Verdana"/>
          <w:sz w:val="24"/>
          <w:szCs w:val="24"/>
        </w:rPr>
        <w:t>,</w:t>
      </w:r>
      <w:r>
        <w:rPr>
          <w:rFonts w:ascii="Verdana" w:cs="Arial" w:hAnsi="Verdana"/>
          <w:sz w:val="24"/>
          <w:szCs w:val="24"/>
        </w:rPr>
        <w:t>6% de ces examens</w:t>
      </w:r>
      <w:r>
        <w:rPr>
          <w:rFonts w:ascii="Verdana" w:cs="Arial" w:hAnsi="Verdana"/>
          <w:sz w:val="24"/>
          <w:szCs w:val="24"/>
        </w:rPr>
        <w:t xml:space="preserve"> </w:t>
      </w:r>
      <w:r>
        <w:rPr>
          <w:rFonts w:ascii="Verdana" w:cs="Arial" w:hAnsi="Verdana"/>
          <w:sz w:val="24"/>
          <w:szCs w:val="24"/>
        </w:rPr>
        <w:t>était</w:t>
      </w:r>
      <w:r>
        <w:rPr>
          <w:rFonts w:ascii="Verdana" w:cs="Arial" w:hAnsi="Verdana"/>
          <w:sz w:val="24"/>
          <w:szCs w:val="24"/>
        </w:rPr>
        <w:t xml:space="preserve"> des échographies.</w:t>
      </w:r>
    </w:p>
    <w:p>
      <w:pPr>
        <w:pStyle w:val="style0"/>
        <w:spacing w:after="0"/>
        <w:jc w:val="both"/>
        <w:rPr>
          <w:rFonts w:ascii="Verdana" w:cs="Arial" w:hAnsi="Verdana"/>
        </w:rPr>
      </w:pPr>
      <w:r>
        <w:rPr>
          <w:rFonts w:ascii="Verdana" w:cs="Arial" w:hAnsi="Verdana"/>
          <w:b/>
          <w:bCs/>
          <w:u w:val="single"/>
        </w:rPr>
        <w:t>Tableau </w:t>
      </w:r>
      <w:r>
        <w:rPr>
          <w:rFonts w:ascii="Verdana" w:hAnsi="Verdana"/>
          <w:b/>
          <w:bCs/>
          <w:iCs/>
          <w:u w:val="single"/>
        </w:rPr>
        <w:t>15</w:t>
      </w:r>
      <w:r>
        <w:rPr>
          <w:rFonts w:ascii="Verdana" w:hAnsi="Verdana"/>
        </w:rPr>
        <w:t xml:space="preserve"> :</w:t>
      </w:r>
      <w:r>
        <w:rPr>
          <w:rFonts w:ascii="Verdana" w:hAnsi="Verdana"/>
        </w:rPr>
        <w:t xml:space="preserve"> Distribution par mois </w:t>
      </w:r>
      <w:r>
        <w:rPr>
          <w:rFonts w:ascii="Verdana" w:hAnsi="Verdana"/>
        </w:rPr>
        <w:t xml:space="preserve">des </w:t>
      </w:r>
      <w:r>
        <w:rPr>
          <w:rFonts w:ascii="Verdana" w:hAnsi="Verdana"/>
        </w:rPr>
        <w:t xml:space="preserve">examens d’imagerie médicale </w:t>
      </w:r>
      <w:r>
        <w:rPr>
          <w:rFonts w:ascii="Verdana" w:hAnsi="Verdana"/>
        </w:rPr>
        <w:t>au CHRM</w:t>
      </w:r>
    </w:p>
    <w:tbl>
      <w:tblPr>
        <w:tblW w:w="9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500"/>
        <w:gridCol w:w="500"/>
        <w:gridCol w:w="600"/>
        <w:gridCol w:w="640"/>
        <w:gridCol w:w="500"/>
        <w:gridCol w:w="500"/>
        <w:gridCol w:w="500"/>
        <w:gridCol w:w="500"/>
        <w:gridCol w:w="620"/>
        <w:gridCol w:w="540"/>
        <w:gridCol w:w="500"/>
        <w:gridCol w:w="500"/>
        <w:gridCol w:w="500"/>
        <w:gridCol w:w="720"/>
      </w:tblGrid>
      <w:tr>
        <w:trPr>
          <w:trHeight w:val="462" w:hRule="atLeast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  <w:t>TYPES D'EXAMENS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  <w:t>Jan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  <w:t>Fév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  <w:t>Mars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  <w:t>Avril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  <w:t>Mai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  <w:t>Juin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  <w:t>Juil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  <w:t>Août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  <w:t>Sept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  <w:t>Oct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  <w:t>Nov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  <w:t>Déc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16"/>
                <w:szCs w:val="16"/>
                <w:lang w:eastAsia="fr-CM"/>
              </w:rPr>
              <w:t xml:space="preserve">TOTAL </w:t>
            </w:r>
          </w:p>
        </w:tc>
      </w:tr>
      <w:tr>
        <w:tblPrEx/>
        <w:trPr>
          <w:trHeight w:val="300" w:hRule="atLeast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lang w:eastAsia="fr-CM"/>
              </w:rPr>
              <w:t>Radiographie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6"/>
                <w:szCs w:val="16"/>
                <w:lang w:eastAsia="fr-CM"/>
              </w:rPr>
              <w:t>62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6"/>
                <w:szCs w:val="16"/>
                <w:lang w:eastAsia="fr-CM"/>
              </w:rPr>
              <w:t>60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6"/>
                <w:szCs w:val="16"/>
                <w:lang w:eastAsia="fr-CM"/>
              </w:rPr>
              <w:t>95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  <w:t>103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  <w:t>114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  <w:t>125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  <w:t>153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  <w:t>191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  <w:t>133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  <w:t>167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  <w:t>288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  <w:t>73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  <w:t>90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6"/>
                <w:szCs w:val="16"/>
                <w:lang w:eastAsia="fr-CM"/>
              </w:rPr>
              <w:t>1654</w:t>
            </w:r>
          </w:p>
        </w:tc>
      </w:tr>
      <w:tr>
        <w:tblPrEx/>
        <w:trPr>
          <w:trHeight w:val="300" w:hRule="atLeast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lang w:eastAsia="fr-CM"/>
              </w:rPr>
              <w:t>Echographie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6"/>
                <w:szCs w:val="16"/>
                <w:lang w:eastAsia="fr-CM"/>
              </w:rPr>
              <w:t>184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6"/>
                <w:szCs w:val="16"/>
                <w:lang w:eastAsia="fr-CM"/>
              </w:rPr>
              <w:t>141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6"/>
                <w:szCs w:val="16"/>
                <w:lang w:eastAsia="fr-CM"/>
              </w:rPr>
              <w:t>143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  <w:t>216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  <w:t>364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  <w:t>187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  <w:t>158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  <w:t>287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  <w:t>234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  <w:t>177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  <w:t>144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  <w:t>150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  <w:t>170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6"/>
                <w:szCs w:val="16"/>
                <w:lang w:eastAsia="fr-CM"/>
              </w:rPr>
              <w:t>2555</w:t>
            </w:r>
          </w:p>
        </w:tc>
      </w:tr>
      <w:tr>
        <w:tblPrEx/>
        <w:trPr>
          <w:trHeight w:val="300" w:hRule="atLeast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lang w:eastAsia="fr-CM"/>
              </w:rPr>
              <w:t>Scanner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6"/>
                <w:szCs w:val="16"/>
                <w:lang w:eastAsia="fr-CM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6"/>
                <w:szCs w:val="16"/>
                <w:lang w:eastAsia="fr-CM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6"/>
                <w:szCs w:val="16"/>
                <w:lang w:eastAsia="fr-CM"/>
              </w:rPr>
              <w:t>14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  <w:t>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sz w:val="16"/>
                <w:szCs w:val="16"/>
                <w:lang w:eastAsia="fr-CM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16"/>
                <w:szCs w:val="16"/>
                <w:lang w:eastAsia="fr-CM"/>
              </w:rPr>
              <w:t>230</w:t>
            </w:r>
          </w:p>
        </w:tc>
      </w:tr>
      <w:tr>
        <w:tblPrEx/>
        <w:trPr>
          <w:trHeight w:val="435" w:hRule="atLeast"/>
        </w:trPr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6"/>
                <w:szCs w:val="16"/>
                <w:lang w:eastAsia="fr-CM"/>
              </w:rPr>
              <w:t>TOTAL EXAMENS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6"/>
                <w:szCs w:val="16"/>
                <w:lang w:eastAsia="fr-CM"/>
              </w:rPr>
              <w:t>262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6"/>
                <w:szCs w:val="16"/>
                <w:lang w:eastAsia="fr-CM"/>
              </w:rPr>
              <w:t>209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6"/>
                <w:szCs w:val="16"/>
                <w:lang w:eastAsia="fr-CM"/>
              </w:rPr>
              <w:t>252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  <w:t>343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  <w:t>509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  <w:t>320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  <w:t>311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  <w:t>490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  <w:t>385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  <w:t>366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  <w:t>455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  <w:t>247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sz w:val="16"/>
                <w:szCs w:val="16"/>
                <w:lang w:eastAsia="fr-CM"/>
              </w:rPr>
              <w:t>290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16"/>
                <w:szCs w:val="16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16"/>
                <w:szCs w:val="16"/>
                <w:lang w:eastAsia="fr-CM"/>
              </w:rPr>
              <w:t>4439</w:t>
            </w:r>
          </w:p>
        </w:tc>
      </w:tr>
    </w:tbl>
    <w:p>
      <w:pPr>
        <w:pStyle w:val="style0"/>
        <w:jc w:val="both"/>
        <w:rPr>
          <w:rFonts w:ascii="Verdana" w:cs="Arial" w:hAnsi="Verdana"/>
          <w:b/>
          <w:sz w:val="20"/>
          <w:szCs w:val="20"/>
          <w:highlight w:val="yellow"/>
        </w:rPr>
      </w:pPr>
    </w:p>
    <w:p>
      <w:pPr>
        <w:pStyle w:val="style0"/>
        <w:spacing w:after="0"/>
        <w:ind w:left="710"/>
        <w:jc w:val="both"/>
        <w:rPr>
          <w:rFonts w:ascii="Verdana" w:cs="Arial" w:hAnsi="Verdana"/>
          <w:b/>
          <w:sz w:val="20"/>
          <w:szCs w:val="20"/>
          <w:highlight w:val="yellow"/>
        </w:rPr>
      </w:pPr>
      <w:r>
        <w:rPr>
          <w:noProof/>
          <w:lang w:val="fr-FR"/>
        </w:rPr>
      </w:r>
      <w:r>
        <w:rPr>
          <w:noProof/>
          <w:lang w:val="fr-FR"/>
        </w:rPr>
      </w:r>
      <w:r>
        <w:rPr>
          <w:noProof/>
          <w:lang w:val="fr-FR"/>
        </w:rPr>
      </w:r>
      <w:r>
        <w:rPr>
          <w:noProof/>
          <w:lang w:val="fr-FR"/>
        </w:rPr>
        <w:drawing>
          <wp:inline distL="114300" distT="0" distB="0" distR="114300">
            <wp:extent cx="4024648" cy="2317750"/>
            <wp:effectExtent l="0" t="0" r="0" b="0"/>
            <wp:docPr id="106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  <w:r>
        <w:rPr>
          <w:noProof/>
          <w:lang w:val="fr-FR"/>
        </w:rPr>
      </w:r>
    </w:p>
    <w:p>
      <w:pPr>
        <w:pStyle w:val="style0"/>
        <w:spacing w:after="0" w:lineRule="auto" w:line="240"/>
        <w:ind w:left="710"/>
        <w:jc w:val="both"/>
        <w:rPr>
          <w:rFonts w:ascii="Verdana" w:cs="Arial" w:hAnsi="Verdana"/>
          <w:bCs/>
        </w:rPr>
      </w:pPr>
      <w:r>
        <w:rPr>
          <w:rFonts w:ascii="Verdana" w:cs="Arial" w:hAnsi="Verdana"/>
          <w:b/>
        </w:rPr>
        <w:t xml:space="preserve">Courbe 5 : </w:t>
      </w:r>
      <w:r>
        <w:rPr>
          <w:rFonts w:ascii="Verdana" w:cs="Arial" w:hAnsi="Verdana"/>
          <w:bCs/>
        </w:rPr>
        <w:t>évolution des examens d’imagerie réalisés au CHRM en 2025</w:t>
      </w:r>
    </w:p>
    <w:p>
      <w:pPr>
        <w:pStyle w:val="style0"/>
        <w:spacing w:lineRule="auto" w:line="240"/>
        <w:ind w:left="710"/>
        <w:jc w:val="both"/>
        <w:rPr>
          <w:rFonts w:ascii="Verdana" w:cs="Arial" w:hAnsi="Verdana"/>
          <w:b/>
          <w:sz w:val="24"/>
          <w:szCs w:val="24"/>
        </w:rPr>
      </w:pPr>
    </w:p>
    <w:bookmarkStart w:id="53" w:name="_Toc225355710"/>
    <w:p>
      <w:pPr>
        <w:pStyle w:val="style3"/>
        <w:rPr/>
      </w:pPr>
      <w:r>
        <w:t>P</w:t>
      </w:r>
      <w:r>
        <w:t>rincipales activit</w:t>
      </w:r>
      <w:r>
        <w:t>é</w:t>
      </w:r>
      <w:r>
        <w:t>s d</w:t>
      </w:r>
      <w:r>
        <w:t>u</w:t>
      </w:r>
      <w:r>
        <w:t xml:space="preserve"> laboratoire</w:t>
      </w:r>
      <w:bookmarkEnd w:id="52"/>
      <w:bookmarkEnd w:id="53"/>
      <w:r>
        <w:t xml:space="preserve"> </w:t>
      </w:r>
    </w:p>
    <w:p>
      <w:pPr>
        <w:pStyle w:val="style0"/>
        <w:jc w:val="both"/>
        <w:rPr>
          <w:rFonts w:ascii="Verdana" w:cs="Arial" w:hAnsi="Verdana"/>
          <w:highlight w:val="yellow"/>
        </w:rPr>
      </w:pPr>
      <w:r>
        <w:rPr>
          <w:rFonts w:ascii="Verdana" w:cs="Arial" w:hAnsi="Verdana"/>
        </w:rPr>
        <w:t xml:space="preserve">Au total, </w:t>
      </w:r>
      <w:r>
        <w:rPr>
          <w:rFonts w:ascii="Verdana" w:cs="Arial" w:hAnsi="Verdana"/>
        </w:rPr>
        <w:t>13 211</w:t>
      </w:r>
      <w:r>
        <w:rPr>
          <w:rFonts w:ascii="Verdana" w:cs="Arial" w:hAnsi="Verdana"/>
        </w:rPr>
        <w:t xml:space="preserve"> examens ont été réalisés </w:t>
      </w:r>
      <w:r>
        <w:rPr>
          <w:rFonts w:ascii="Verdana" w:cs="Arial" w:hAnsi="Verdana"/>
        </w:rPr>
        <w:t>au CHRM</w:t>
      </w:r>
      <w:r>
        <w:rPr>
          <w:rFonts w:ascii="Verdana" w:cs="Arial" w:hAnsi="Verdana"/>
        </w:rPr>
        <w:t xml:space="preserve"> en 202</w:t>
      </w:r>
      <w:r>
        <w:rPr>
          <w:rFonts w:ascii="Verdana" w:cs="Arial" w:hAnsi="Verdana"/>
        </w:rPr>
        <w:t>5</w:t>
      </w:r>
      <w:r>
        <w:rPr>
          <w:rFonts w:ascii="Verdana" w:cs="Arial" w:hAnsi="Verdana"/>
        </w:rPr>
        <w:t xml:space="preserve"> dont 34,6% en biochimie.</w:t>
      </w:r>
      <w:r>
        <w:rPr>
          <w:rFonts w:ascii="Verdana" w:cs="Arial" w:hAnsi="Verdana"/>
        </w:rPr>
        <w:t xml:space="preserve"> Sur la courbe, on note une évolution progressive.</w:t>
      </w:r>
    </w:p>
    <w:p>
      <w:pPr>
        <w:pStyle w:val="style0"/>
        <w:spacing w:after="0"/>
        <w:jc w:val="both"/>
        <w:rPr>
          <w:rFonts w:ascii="Verdana" w:cs="Arial" w:hAnsi="Verdana"/>
          <w:sz w:val="18"/>
          <w:szCs w:val="18"/>
        </w:rPr>
      </w:pPr>
      <w:r>
        <w:rPr>
          <w:rFonts w:ascii="Verdana" w:cs="Arial" w:hAnsi="Verdana"/>
          <w:b/>
          <w:bCs/>
          <w:sz w:val="18"/>
          <w:szCs w:val="18"/>
          <w:u w:val="single"/>
        </w:rPr>
        <w:t>Tableau </w:t>
      </w:r>
      <w:r>
        <w:rPr>
          <w:rFonts w:ascii="Verdana" w:hAnsi="Verdana"/>
          <w:b/>
          <w:bCs/>
          <w:iCs/>
          <w:sz w:val="18"/>
          <w:szCs w:val="18"/>
          <w:u w:val="single"/>
        </w:rPr>
        <w:t>16</w:t>
      </w:r>
      <w:r>
        <w:rPr>
          <w:rFonts w:ascii="Verdana" w:hAnsi="Verdana"/>
          <w:sz w:val="18"/>
          <w:szCs w:val="18"/>
        </w:rPr>
        <w:t xml:space="preserve"> :</w:t>
      </w:r>
      <w:r>
        <w:rPr>
          <w:rFonts w:ascii="Verdana" w:cs="Arial" w:hAnsi="Verdana"/>
          <w:sz w:val="18"/>
          <w:szCs w:val="18"/>
        </w:rPr>
        <w:t xml:space="preserve"> Distribution des examens réalisés par différents laboratoires </w:t>
      </w:r>
      <w:r>
        <w:rPr>
          <w:rFonts w:ascii="Verdana" w:cs="Arial" w:hAnsi="Verdana"/>
          <w:sz w:val="18"/>
          <w:szCs w:val="18"/>
        </w:rPr>
        <w:t>du CHRM en 2025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1"/>
        <w:gridCol w:w="2391"/>
        <w:gridCol w:w="1313"/>
      </w:tblGrid>
      <w:tr>
        <w:trPr>
          <w:trHeight w:val="390" w:hRule="atLeast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1f4e78"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ffffff"/>
                <w:sz w:val="28"/>
                <w:szCs w:val="2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28"/>
                <w:szCs w:val="28"/>
                <w:lang w:eastAsia="fr-CM"/>
              </w:rPr>
              <w:t>PAILLASSE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1f4e78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28"/>
                <w:szCs w:val="2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28"/>
                <w:szCs w:val="28"/>
                <w:lang w:eastAsia="fr-CM"/>
              </w:rPr>
              <w:t xml:space="preserve">TOTAL EXAMENS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1f4e78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28"/>
                <w:szCs w:val="2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28"/>
                <w:szCs w:val="28"/>
                <w:lang w:eastAsia="fr-CM"/>
              </w:rPr>
              <w:t>%</w:t>
            </w:r>
          </w:p>
        </w:tc>
      </w:tr>
      <w:tr>
        <w:tblPrEx/>
        <w:trPr>
          <w:trHeight w:val="5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8"/>
                <w:szCs w:val="2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8"/>
                <w:szCs w:val="28"/>
                <w:lang w:eastAsia="fr-CM"/>
              </w:rPr>
              <w:t>BACTERIOLOGIE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8"/>
                <w:szCs w:val="28"/>
                <w:lang w:eastAsia="fr-CM"/>
              </w:rPr>
            </w:pPr>
            <w:r>
              <w:rPr>
                <w:rFonts w:ascii="Verdana" w:cs="Calibri" w:eastAsia="Times New Roman" w:hAnsi="Verdana"/>
                <w:sz w:val="28"/>
                <w:szCs w:val="28"/>
                <w:lang w:eastAsia="fr-CM"/>
              </w:rPr>
              <w:t xml:space="preserve">                1 070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8"/>
                <w:szCs w:val="28"/>
                <w:lang w:eastAsia="fr-CM"/>
              </w:rPr>
            </w:pPr>
            <w:r>
              <w:rPr>
                <w:rFonts w:ascii="Verdana" w:cs="Calibri" w:eastAsia="Times New Roman" w:hAnsi="Verdana"/>
                <w:sz w:val="28"/>
                <w:szCs w:val="28"/>
                <w:lang w:eastAsia="fr-CM"/>
              </w:rPr>
              <w:t xml:space="preserve">           8,1      </w:t>
            </w:r>
          </w:p>
        </w:tc>
      </w:tr>
      <w:tr>
        <w:tblPrEx/>
        <w:trPr>
          <w:trHeight w:val="6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8"/>
                <w:szCs w:val="2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8"/>
                <w:szCs w:val="28"/>
                <w:lang w:eastAsia="fr-CM"/>
              </w:rPr>
              <w:t>BIOCHIMIE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8"/>
                <w:szCs w:val="28"/>
                <w:lang w:eastAsia="fr-CM"/>
              </w:rPr>
            </w:pPr>
            <w:r>
              <w:rPr>
                <w:rFonts w:ascii="Verdana" w:cs="Calibri" w:eastAsia="Times New Roman" w:hAnsi="Verdana"/>
                <w:sz w:val="28"/>
                <w:szCs w:val="28"/>
                <w:lang w:eastAsia="fr-CM"/>
              </w:rPr>
              <w:t xml:space="preserve">                4 568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8"/>
                <w:szCs w:val="28"/>
                <w:lang w:eastAsia="fr-CM"/>
              </w:rPr>
            </w:pPr>
            <w:r>
              <w:rPr>
                <w:rFonts w:ascii="Verdana" w:cs="Calibri" w:eastAsia="Times New Roman" w:hAnsi="Verdana"/>
                <w:sz w:val="28"/>
                <w:szCs w:val="28"/>
                <w:lang w:eastAsia="fr-CM"/>
              </w:rPr>
              <w:t xml:space="preserve">         34,6      </w:t>
            </w:r>
          </w:p>
        </w:tc>
      </w:tr>
      <w:tr>
        <w:tblPrEx/>
        <w:trPr>
          <w:trHeight w:val="6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8"/>
                <w:szCs w:val="2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8"/>
                <w:szCs w:val="28"/>
                <w:lang w:eastAsia="fr-CM"/>
              </w:rPr>
              <w:t>HEMATOLOGIE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8"/>
                <w:szCs w:val="28"/>
                <w:lang w:eastAsia="fr-CM"/>
              </w:rPr>
            </w:pPr>
            <w:r>
              <w:rPr>
                <w:rFonts w:ascii="Verdana" w:cs="Calibri" w:eastAsia="Times New Roman" w:hAnsi="Verdana"/>
                <w:sz w:val="28"/>
                <w:szCs w:val="28"/>
                <w:lang w:eastAsia="fr-CM"/>
              </w:rPr>
              <w:t xml:space="preserve">                2 943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8"/>
                <w:szCs w:val="28"/>
                <w:lang w:eastAsia="fr-CM"/>
              </w:rPr>
            </w:pPr>
            <w:r>
              <w:rPr>
                <w:rFonts w:ascii="Verdana" w:cs="Calibri" w:eastAsia="Times New Roman" w:hAnsi="Verdana"/>
                <w:sz w:val="28"/>
                <w:szCs w:val="28"/>
                <w:lang w:eastAsia="fr-CM"/>
              </w:rPr>
              <w:t xml:space="preserve">         22,3      </w:t>
            </w:r>
          </w:p>
        </w:tc>
      </w:tr>
      <w:tr>
        <w:tblPrEx/>
        <w:trPr>
          <w:trHeight w:val="6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8"/>
                <w:szCs w:val="2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8"/>
                <w:szCs w:val="28"/>
                <w:lang w:eastAsia="fr-CM"/>
              </w:rPr>
              <w:t>PARASITOLOGIE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8"/>
                <w:szCs w:val="28"/>
                <w:lang w:eastAsia="fr-CM"/>
              </w:rPr>
            </w:pPr>
            <w:r>
              <w:rPr>
                <w:rFonts w:ascii="Verdana" w:cs="Calibri" w:eastAsia="Times New Roman" w:hAnsi="Verdana"/>
                <w:sz w:val="28"/>
                <w:szCs w:val="28"/>
                <w:lang w:eastAsia="fr-CM"/>
              </w:rPr>
              <w:t xml:space="preserve">                   430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8"/>
                <w:szCs w:val="28"/>
                <w:lang w:eastAsia="fr-CM"/>
              </w:rPr>
            </w:pPr>
            <w:r>
              <w:rPr>
                <w:rFonts w:ascii="Verdana" w:cs="Calibri" w:eastAsia="Times New Roman" w:hAnsi="Verdana"/>
                <w:sz w:val="28"/>
                <w:szCs w:val="28"/>
                <w:lang w:eastAsia="fr-CM"/>
              </w:rPr>
              <w:t xml:space="preserve">           3,3      </w:t>
            </w:r>
          </w:p>
        </w:tc>
      </w:tr>
      <w:tr>
        <w:tblPrEx/>
        <w:trPr>
          <w:trHeight w:val="6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8"/>
                <w:szCs w:val="2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8"/>
                <w:szCs w:val="28"/>
                <w:lang w:eastAsia="fr-CM"/>
              </w:rPr>
              <w:t>SEROLOGIE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8"/>
                <w:szCs w:val="28"/>
                <w:lang w:eastAsia="fr-CM"/>
              </w:rPr>
            </w:pPr>
            <w:r>
              <w:rPr>
                <w:rFonts w:ascii="Verdana" w:cs="Calibri" w:eastAsia="Times New Roman" w:hAnsi="Verdana"/>
                <w:sz w:val="28"/>
                <w:szCs w:val="28"/>
                <w:lang w:eastAsia="fr-CM"/>
              </w:rPr>
              <w:t xml:space="preserve">                2 179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8"/>
                <w:szCs w:val="28"/>
                <w:lang w:eastAsia="fr-CM"/>
              </w:rPr>
            </w:pPr>
            <w:r>
              <w:rPr>
                <w:rFonts w:ascii="Verdana" w:cs="Calibri" w:eastAsia="Times New Roman" w:hAnsi="Verdana"/>
                <w:sz w:val="28"/>
                <w:szCs w:val="28"/>
                <w:lang w:eastAsia="fr-CM"/>
              </w:rPr>
              <w:t xml:space="preserve">         16,5      </w:t>
            </w:r>
          </w:p>
        </w:tc>
      </w:tr>
      <w:tr>
        <w:tblPrEx/>
        <w:trPr>
          <w:trHeight w:val="6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8"/>
                <w:szCs w:val="28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8"/>
                <w:szCs w:val="28"/>
                <w:lang w:eastAsia="fr-CM"/>
              </w:rPr>
              <w:t>LABO URGENCES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8"/>
                <w:szCs w:val="28"/>
                <w:lang w:eastAsia="fr-CM"/>
              </w:rPr>
            </w:pPr>
            <w:r>
              <w:rPr>
                <w:rFonts w:ascii="Verdana" w:cs="Calibri" w:eastAsia="Times New Roman" w:hAnsi="Verdana"/>
                <w:sz w:val="28"/>
                <w:szCs w:val="28"/>
                <w:lang w:eastAsia="fr-CM"/>
              </w:rPr>
              <w:t xml:space="preserve">                2 021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8"/>
                <w:szCs w:val="28"/>
                <w:lang w:eastAsia="fr-CM"/>
              </w:rPr>
            </w:pPr>
            <w:r>
              <w:rPr>
                <w:rFonts w:ascii="Verdana" w:cs="Calibri" w:eastAsia="Times New Roman" w:hAnsi="Verdana"/>
                <w:sz w:val="28"/>
                <w:szCs w:val="28"/>
                <w:lang w:eastAsia="fr-CM"/>
              </w:rPr>
              <w:t xml:space="preserve">         15,3      </w:t>
            </w:r>
          </w:p>
        </w:tc>
      </w:tr>
      <w:tr>
        <w:tblPrEx/>
        <w:trPr>
          <w:trHeight w:val="63" w:hRule="atLeast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28"/>
                <w:szCs w:val="28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8"/>
                <w:szCs w:val="28"/>
                <w:lang w:eastAsia="fr-CM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8"/>
                <w:szCs w:val="28"/>
                <w:lang w:eastAsia="fr-CM"/>
              </w:rPr>
            </w:pPr>
            <w:r>
              <w:rPr>
                <w:rFonts w:ascii="Verdana" w:cs="Calibri" w:eastAsia="Times New Roman" w:hAnsi="Verdana"/>
                <w:sz w:val="28"/>
                <w:szCs w:val="28"/>
                <w:lang w:eastAsia="fr-CM"/>
              </w:rPr>
              <w:t xml:space="preserve">              13 211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sz w:val="28"/>
                <w:szCs w:val="28"/>
                <w:lang w:eastAsia="fr-CM"/>
              </w:rPr>
            </w:pPr>
            <w:r>
              <w:rPr>
                <w:rFonts w:ascii="Verdana" w:cs="Calibri" w:eastAsia="Times New Roman" w:hAnsi="Verdana"/>
                <w:sz w:val="28"/>
                <w:szCs w:val="28"/>
                <w:lang w:eastAsia="fr-CM"/>
              </w:rPr>
              <w:t xml:space="preserve">       100,0      </w:t>
            </w:r>
          </w:p>
        </w:tc>
      </w:tr>
    </w:tbl>
    <w:p>
      <w:pPr>
        <w:pStyle w:val="style0"/>
        <w:jc w:val="both"/>
        <w:rPr>
          <w:rFonts w:ascii="Verdana" w:cs="Arial" w:hAnsi="Verdana"/>
          <w:b/>
          <w:sz w:val="16"/>
          <w:szCs w:val="16"/>
          <w:highlight w:val="yellow"/>
        </w:rPr>
      </w:pPr>
    </w:p>
    <w:p>
      <w:pPr>
        <w:pStyle w:val="style0"/>
        <w:jc w:val="both"/>
        <w:rPr>
          <w:rFonts w:ascii="Verdana" w:cs="Arial" w:hAnsi="Verdana"/>
          <w:b/>
          <w:sz w:val="16"/>
          <w:szCs w:val="16"/>
          <w:highlight w:val="yellow"/>
        </w:rPr>
      </w:pPr>
      <w:r>
        <w:rPr>
          <w:noProof/>
          <w:lang w:val="fr-FR"/>
        </w:rPr>
      </w:r>
      <w:r>
        <w:rPr>
          <w:noProof/>
          <w:lang w:val="fr-FR"/>
        </w:rPr>
      </w:r>
      <w:r>
        <w:rPr>
          <w:noProof/>
          <w:lang w:val="fr-FR"/>
        </w:rPr>
      </w:r>
      <w:r>
        <w:rPr>
          <w:noProof/>
          <w:lang w:val="fr-FR"/>
        </w:rPr>
        <w:drawing>
          <wp:inline distL="114300" distT="0" distB="0" distR="114300">
            <wp:extent cx="5760720" cy="2566416"/>
            <wp:effectExtent l="0" t="0" r="0" b="0"/>
            <wp:docPr id="106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>
        <w:rPr>
          <w:noProof/>
          <w:lang w:val="fr-FR"/>
        </w:rPr>
      </w:r>
    </w:p>
    <w:p>
      <w:pPr>
        <w:pStyle w:val="style0"/>
        <w:spacing w:after="0"/>
        <w:jc w:val="both"/>
        <w:rPr>
          <w:rFonts w:ascii="Verdana" w:cs="Arial" w:hAnsi="Verdana"/>
          <w:b/>
          <w:sz w:val="20"/>
          <w:szCs w:val="20"/>
          <w:highlight w:val="yellow"/>
          <w:u w:val="single"/>
        </w:rPr>
      </w:pPr>
      <w:r>
        <w:rPr>
          <w:noProof/>
          <w:lang w:val="fr-FR"/>
        </w:rPr>
      </w:r>
      <w:r>
        <w:rPr>
          <w:noProof/>
          <w:lang w:val="fr-FR"/>
        </w:rPr>
      </w:r>
      <w:r>
        <w:rPr>
          <w:noProof/>
          <w:lang w:val="fr-FR"/>
        </w:rPr>
      </w:r>
      <w:r>
        <w:rPr>
          <w:noProof/>
          <w:lang w:val="fr-FR"/>
        </w:rPr>
        <w:drawing>
          <wp:inline distL="114300" distT="0" distB="0" distR="114300">
            <wp:extent cx="4644947" cy="2801055"/>
            <wp:effectExtent l="0" t="0" r="0" b="0"/>
            <wp:docPr id="106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>
        <w:rPr>
          <w:noProof/>
          <w:lang w:val="fr-FR"/>
        </w:rPr>
      </w:r>
    </w:p>
    <w:p>
      <w:pPr>
        <w:pStyle w:val="style0"/>
        <w:spacing w:after="0"/>
        <w:jc w:val="both"/>
        <w:rPr>
          <w:rFonts w:ascii="Verdana" w:cs="Arial" w:hAnsi="Verdana"/>
          <w:b/>
          <w:sz w:val="20"/>
          <w:szCs w:val="20"/>
        </w:rPr>
      </w:pPr>
      <w:r>
        <w:rPr>
          <w:rFonts w:ascii="Verdana" w:cs="Arial" w:hAnsi="Verdana"/>
          <w:b/>
          <w:sz w:val="20"/>
          <w:szCs w:val="20"/>
        </w:rPr>
        <w:t xml:space="preserve">Courbe 6 : </w:t>
      </w:r>
      <w:r>
        <w:rPr>
          <w:rFonts w:ascii="Verdana" w:cs="Arial" w:hAnsi="Verdana"/>
          <w:bCs/>
          <w:sz w:val="20"/>
          <w:szCs w:val="20"/>
        </w:rPr>
        <w:t>évolution par mois des examens réalisés au laboratoire du CHRM en 2025</w:t>
      </w:r>
    </w:p>
    <w:p>
      <w:pPr>
        <w:pStyle w:val="style0"/>
        <w:spacing w:after="0"/>
        <w:jc w:val="both"/>
        <w:rPr>
          <w:rFonts w:ascii="Verdana" w:cs="Arial" w:hAnsi="Verdana"/>
          <w:b/>
          <w:sz w:val="20"/>
          <w:szCs w:val="20"/>
          <w:highlight w:val="yellow"/>
        </w:rPr>
      </w:pPr>
    </w:p>
    <w:bookmarkStart w:id="54" w:name="_Toc225355711"/>
    <w:p>
      <w:pPr>
        <w:pStyle w:val="style3"/>
        <w:rPr/>
      </w:pPr>
      <w:r>
        <w:t>P</w:t>
      </w:r>
      <w:r>
        <w:t>rincipal</w:t>
      </w:r>
      <w:r>
        <w:t>e</w:t>
      </w:r>
      <w:r>
        <w:t>s</w:t>
      </w:r>
      <w:r>
        <w:t xml:space="preserve"> activit</w:t>
      </w:r>
      <w:r>
        <w:t>é</w:t>
      </w:r>
      <w:r>
        <w:t xml:space="preserve">s </w:t>
      </w:r>
      <w:bookmarkStart w:id="55" w:name="_Toc412494550"/>
      <w:r>
        <w:t>de la banque de sang</w:t>
      </w:r>
      <w:bookmarkEnd w:id="54"/>
    </w:p>
    <w:p>
      <w:pPr>
        <w:pStyle w:val="style0"/>
        <w:spacing w:after="0"/>
        <w:jc w:val="both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Les tableaux ci-dessous nous retracent les activités de la banque de sang au cours de l’année 2025. A l’analyse, on peut noter :</w:t>
      </w:r>
    </w:p>
    <w:p>
      <w:pPr>
        <w:pStyle w:val="style179"/>
        <w:numPr>
          <w:ilvl w:val="0"/>
          <w:numId w:val="17"/>
        </w:numPr>
        <w:spacing w:after="0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 xml:space="preserve">404 candidats au don de sang avec 70% enregistrés au cours des 6 derniers mois ; </w:t>
      </w:r>
    </w:p>
    <w:p>
      <w:pPr>
        <w:pStyle w:val="style179"/>
        <w:numPr>
          <w:ilvl w:val="0"/>
          <w:numId w:val="17"/>
        </w:numPr>
        <w:spacing w:after="0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95,8% sont des donneurs de famille ;</w:t>
      </w:r>
    </w:p>
    <w:p>
      <w:pPr>
        <w:pStyle w:val="style179"/>
        <w:numPr>
          <w:ilvl w:val="0"/>
          <w:numId w:val="17"/>
        </w:numPr>
        <w:spacing w:after="0"/>
        <w:rPr>
          <w:rFonts w:ascii="Verdana" w:cs="Arial" w:hAnsi="Verdana"/>
          <w:sz w:val="24"/>
          <w:szCs w:val="24"/>
        </w:rPr>
      </w:pPr>
      <w:r>
        <w:rPr>
          <w:rFonts w:ascii="Calibri" w:cs="Calibri" w:eastAsia="Times New Roman" w:hAnsi="Calibri"/>
          <w:color w:val="000000"/>
          <w:sz w:val="24"/>
          <w:szCs w:val="24"/>
          <w:lang w:eastAsia="fr-CM"/>
        </w:rPr>
        <w:t xml:space="preserve">L’hépatite B représente 70% des cas </w:t>
      </w:r>
      <w:r>
        <w:rPr>
          <w:rFonts w:ascii="Calibri" w:cs="Calibri" w:eastAsia="Times New Roman" w:hAnsi="Calibri"/>
          <w:color w:val="000000"/>
          <w:sz w:val="24"/>
          <w:szCs w:val="24"/>
          <w:lang w:eastAsia="fr-CM"/>
        </w:rPr>
        <w:t>d'infections transmissibles par la transfusion sanguine</w:t>
      </w:r>
      <w:r>
        <w:rPr>
          <w:rFonts w:ascii="Calibri" w:cs="Calibri" w:eastAsia="Times New Roman" w:hAnsi="Calibri"/>
          <w:color w:val="000000"/>
          <w:sz w:val="24"/>
          <w:szCs w:val="24"/>
          <w:lang w:eastAsia="fr-CM"/>
        </w:rPr>
        <w:t> ;</w:t>
      </w:r>
    </w:p>
    <w:p>
      <w:pPr>
        <w:pStyle w:val="style179"/>
        <w:numPr>
          <w:ilvl w:val="0"/>
          <w:numId w:val="17"/>
        </w:numPr>
        <w:spacing w:after="0"/>
        <w:rPr>
          <w:rFonts w:ascii="Verdana" w:cs="Arial" w:hAnsi="Verdana"/>
          <w:sz w:val="24"/>
          <w:szCs w:val="24"/>
        </w:rPr>
      </w:pPr>
      <w:r>
        <w:rPr>
          <w:rFonts w:ascii="Calibri" w:cs="Calibri" w:eastAsia="Times New Roman" w:hAnsi="Calibri"/>
          <w:color w:val="000000"/>
          <w:sz w:val="24"/>
          <w:szCs w:val="24"/>
          <w:lang w:eastAsia="fr-CM"/>
        </w:rPr>
        <w:t>Le CHRM a servi à l’extérieur, 2,4% des poches de sang transfusés.</w:t>
      </w:r>
    </w:p>
    <w:p>
      <w:pPr>
        <w:pStyle w:val="style179"/>
        <w:numPr>
          <w:ilvl w:val="0"/>
          <w:numId w:val="17"/>
        </w:numPr>
        <w:spacing w:after="0"/>
        <w:rPr>
          <w:rFonts w:ascii="Verdana" w:cs="Arial" w:hAnsi="Verdana"/>
          <w:sz w:val="24"/>
          <w:szCs w:val="24"/>
        </w:rPr>
      </w:pPr>
      <w:r>
        <w:rPr>
          <w:rFonts w:ascii="Calibri" w:cs="Calibri" w:eastAsia="Times New Roman" w:hAnsi="Calibri"/>
          <w:color w:val="000000"/>
          <w:sz w:val="24"/>
          <w:szCs w:val="24"/>
          <w:lang w:eastAsia="fr-CM"/>
        </w:rPr>
        <w:t xml:space="preserve">3 cas de malaise ont été enregistrés pendant la </w:t>
      </w:r>
      <w:r>
        <w:rPr>
          <w:rFonts w:ascii="Calibri" w:cs="Calibri" w:eastAsia="Times New Roman" w:hAnsi="Calibri"/>
          <w:color w:val="000000"/>
          <w:sz w:val="24"/>
          <w:szCs w:val="24"/>
          <w:lang w:eastAsia="fr-CM"/>
        </w:rPr>
        <w:t>transfusion (</w:t>
      </w:r>
      <w:r>
        <w:rPr>
          <w:rFonts w:ascii="Calibri" w:cs="Calibri" w:eastAsia="Times New Roman" w:hAnsi="Calibri"/>
          <w:color w:val="000000"/>
          <w:sz w:val="24"/>
          <w:szCs w:val="24"/>
          <w:lang w:eastAsia="fr-CM"/>
        </w:rPr>
        <w:t>1,3%) et 1 cas après la transfusion (0,3%)</w:t>
      </w:r>
      <w:r>
        <w:rPr>
          <w:rFonts w:ascii="Calibri" w:cs="Calibri" w:eastAsia="Times New Roman" w:hAnsi="Calibri"/>
          <w:color w:val="000000"/>
          <w:sz w:val="24"/>
          <w:szCs w:val="24"/>
          <w:lang w:eastAsia="fr-CM"/>
        </w:rPr>
        <w:t xml:space="preserve"> </w:t>
      </w:r>
    </w:p>
    <w:p>
      <w:pPr>
        <w:pStyle w:val="style0"/>
        <w:spacing w:after="0"/>
        <w:jc w:val="both"/>
        <w:rPr>
          <w:rFonts w:ascii="Verdana" w:cs="Arial" w:hAnsi="Verdana"/>
          <w:b/>
          <w:highlight w:val="yellow"/>
          <w:u w:val="single"/>
        </w:rPr>
      </w:pPr>
    </w:p>
    <w:p>
      <w:pPr>
        <w:pStyle w:val="style0"/>
        <w:spacing w:after="0"/>
        <w:jc w:val="both"/>
        <w:rPr>
          <w:rFonts w:ascii="Verdana" w:cs="Arial" w:hAnsi="Verdana"/>
          <w:b/>
          <w:sz w:val="16"/>
          <w:szCs w:val="16"/>
          <w:highlight w:val="yellow"/>
          <w:u w:val="single"/>
        </w:rPr>
      </w:pPr>
      <w:r>
        <w:rPr>
          <w:rFonts w:ascii="Verdana" w:cs="Arial" w:hAnsi="Verdana"/>
          <w:sz w:val="16"/>
          <w:szCs w:val="16"/>
          <w:u w:val="single"/>
        </w:rPr>
        <w:t>Tableau</w:t>
      </w:r>
      <w:r>
        <w:rPr>
          <w:rFonts w:ascii="Verdana" w:cs="Arial" w:hAnsi="Verdana"/>
          <w:sz w:val="16"/>
          <w:szCs w:val="16"/>
          <w:u w:val="single"/>
        </w:rPr>
        <w:t xml:space="preserve"> </w:t>
      </w:r>
      <w:r>
        <w:rPr>
          <w:rFonts w:ascii="Verdana" w:cs="Arial" w:hAnsi="Verdana"/>
          <w:sz w:val="16"/>
          <w:szCs w:val="16"/>
          <w:u w:val="single"/>
        </w:rPr>
        <w:t>17</w:t>
      </w:r>
      <w:r>
        <w:rPr>
          <w:rFonts w:ascii="Verdana" w:cs="Arial" w:hAnsi="Verdana"/>
          <w:sz w:val="16"/>
          <w:szCs w:val="16"/>
        </w:rPr>
        <w:t>:Distribution</w:t>
      </w:r>
      <w:r>
        <w:rPr>
          <w:rFonts w:ascii="Verdana" w:cs="Arial" w:hAnsi="Verdana"/>
          <w:sz w:val="16"/>
          <w:szCs w:val="16"/>
        </w:rPr>
        <w:t xml:space="preserve"> des candidats au don de sang</w:t>
      </w:r>
      <w:r>
        <w:rPr>
          <w:rFonts w:ascii="Verdana" w:cs="Arial" w:hAnsi="Verdana"/>
          <w:sz w:val="16"/>
          <w:szCs w:val="16"/>
        </w:rPr>
        <w:t xml:space="preserve"> au CHRM</w:t>
      </w:r>
      <w:r>
        <w:rPr>
          <w:rFonts w:ascii="Verdana" w:cs="Arial" w:hAnsi="Verdana"/>
          <w:sz w:val="16"/>
          <w:szCs w:val="16"/>
        </w:rPr>
        <w:t>, par mois, par sexe et par tranches d'âge</w:t>
      </w:r>
      <w:r>
        <w:rPr>
          <w:rFonts w:ascii="Verdana" w:cs="Arial" w:hAnsi="Verdana"/>
          <w:sz w:val="16"/>
          <w:szCs w:val="16"/>
        </w:rPr>
        <w:t xml:space="preserve"> en </w:t>
      </w:r>
      <w:r>
        <w:rPr>
          <w:rFonts w:ascii="Verdana" w:cs="Arial" w:hAnsi="Verdana"/>
          <w:sz w:val="14"/>
          <w:szCs w:val="14"/>
        </w:rPr>
        <w:t>2025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"/>
        <w:gridCol w:w="644"/>
        <w:gridCol w:w="586"/>
        <w:gridCol w:w="621"/>
        <w:gridCol w:w="479"/>
        <w:gridCol w:w="621"/>
        <w:gridCol w:w="479"/>
        <w:gridCol w:w="479"/>
        <w:gridCol w:w="479"/>
        <w:gridCol w:w="479"/>
        <w:gridCol w:w="337"/>
        <w:gridCol w:w="621"/>
        <w:gridCol w:w="479"/>
        <w:gridCol w:w="1818"/>
      </w:tblGrid>
      <w:tr>
        <w:trPr>
          <w:trHeight w:val="53" w:hRule="atLeast"/>
        </w:trPr>
        <w:tc>
          <w:tcPr>
            <w:tcW w:w="52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MOIS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 </w:t>
            </w:r>
          </w:p>
        </w:tc>
        <w:tc>
          <w:tcPr>
            <w:tcW w:w="2513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TRANCHES D'AGE (ans)</w:t>
            </w:r>
          </w:p>
        </w:tc>
        <w:tc>
          <w:tcPr>
            <w:tcW w:w="606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TOTAL</w:t>
            </w:r>
          </w:p>
        </w:tc>
        <w:tc>
          <w:tcPr>
            <w:tcW w:w="100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G TOTAL 2025</w:t>
            </w:r>
          </w:p>
        </w:tc>
      </w:tr>
      <w:tr>
        <w:tblPrEx/>
        <w:trPr>
          <w:trHeight w:val="53" w:hRule="atLeast"/>
        </w:trPr>
        <w:tc>
          <w:tcPr>
            <w:tcW w:w="523" w:type="pct"/>
            <w:vMerge w:val="continue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˂ 20 ANS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 xml:space="preserve">20-29 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 xml:space="preserve">30-39 </w:t>
            </w:r>
          </w:p>
        </w:tc>
        <w:tc>
          <w:tcPr>
            <w:tcW w:w="52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 xml:space="preserve">40-49 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 xml:space="preserve">˃49 </w:t>
            </w:r>
          </w:p>
        </w:tc>
        <w:tc>
          <w:tcPr>
            <w:tcW w:w="606" w:type="pct"/>
            <w:gridSpan w:val="2"/>
            <w:vMerge w:val="continue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</w:p>
        </w:tc>
        <w:tc>
          <w:tcPr>
            <w:tcW w:w="1002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</w:p>
        </w:tc>
      </w:tr>
      <w:tr>
        <w:tblPrEx/>
        <w:trPr>
          <w:trHeight w:val="315" w:hRule="atLeast"/>
        </w:trPr>
        <w:tc>
          <w:tcPr>
            <w:tcW w:w="523" w:type="pct"/>
            <w:vMerge w:val="continue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H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F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H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F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H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F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H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F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H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F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H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F</w:t>
            </w:r>
          </w:p>
        </w:tc>
        <w:tc>
          <w:tcPr>
            <w:tcW w:w="1002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</w:p>
        </w:tc>
      </w:tr>
      <w:tr>
        <w:tblPrEx/>
        <w:trPr>
          <w:trHeight w:val="68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Janv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5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25</w:t>
            </w:r>
          </w:p>
        </w:tc>
      </w:tr>
      <w:tr>
        <w:tblPrEx/>
        <w:trPr>
          <w:trHeight w:val="68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Fév.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16</w:t>
            </w:r>
          </w:p>
        </w:tc>
      </w:tr>
      <w:tr>
        <w:tblPrEx/>
        <w:trPr>
          <w:trHeight w:val="68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Mars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27</w:t>
            </w:r>
          </w:p>
        </w:tc>
      </w:tr>
      <w:tr>
        <w:tblPrEx/>
        <w:trPr>
          <w:trHeight w:val="68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Avril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35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5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40</w:t>
            </w:r>
          </w:p>
        </w:tc>
      </w:tr>
      <w:tr>
        <w:tblPrEx/>
        <w:trPr>
          <w:trHeight w:val="68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Mai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12</w:t>
            </w:r>
          </w:p>
        </w:tc>
      </w:tr>
      <w:tr>
        <w:tblPrEx/>
        <w:trPr>
          <w:trHeight w:val="68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Juin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22</w:t>
            </w:r>
          </w:p>
        </w:tc>
      </w:tr>
      <w:tr>
        <w:tblPrEx/>
        <w:trPr>
          <w:trHeight w:val="68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Juillet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26</w:t>
            </w:r>
          </w:p>
        </w:tc>
      </w:tr>
      <w:tr>
        <w:tblPrEx/>
        <w:trPr>
          <w:trHeight w:val="68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Août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31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34</w:t>
            </w:r>
          </w:p>
        </w:tc>
      </w:tr>
      <w:tr>
        <w:tblPrEx/>
        <w:trPr>
          <w:trHeight w:val="68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Sept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32</w:t>
            </w:r>
          </w:p>
        </w:tc>
      </w:tr>
      <w:tr>
        <w:tblPrEx/>
        <w:trPr>
          <w:trHeight w:val="68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Oct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4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38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5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43</w:t>
            </w:r>
          </w:p>
        </w:tc>
      </w:tr>
      <w:tr>
        <w:tblPrEx/>
        <w:trPr>
          <w:trHeight w:val="68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Nov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7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4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59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61</w:t>
            </w:r>
          </w:p>
        </w:tc>
      </w:tr>
      <w:tr>
        <w:tblPrEx/>
        <w:trPr>
          <w:trHeight w:val="68" w:hRule="atLeast"/>
        </w:trPr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Déc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28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20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6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59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7</w: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66</w:t>
            </w:r>
          </w:p>
        </w:tc>
      </w:tr>
      <w:tr>
        <w:tblPrEx/>
        <w:trPr>
          <w:trHeight w:val="68" w:hRule="atLeast"/>
        </w:trPr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TOTAL</w:t>
            </w: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188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11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110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10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49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12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15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369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35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404</w:t>
            </w:r>
          </w:p>
        </w:tc>
      </w:tr>
    </w:tbl>
    <w:p>
      <w:pPr>
        <w:pStyle w:val="style0"/>
        <w:spacing w:after="0" w:lineRule="auto" w:line="240"/>
        <w:jc w:val="both"/>
        <w:rPr>
          <w:rFonts w:ascii="Calibri" w:cs="Calibri" w:hAnsi="Calibri"/>
          <w:color w:val="000000"/>
        </w:rPr>
      </w:pPr>
    </w:p>
    <w:p>
      <w:pPr>
        <w:pStyle w:val="style0"/>
        <w:spacing w:after="0" w:lineRule="auto" w:line="240"/>
        <w:jc w:val="both"/>
        <w:rPr>
          <w:rFonts w:ascii="Calibri" w:cs="Calibri" w:hAnsi="Calibri"/>
          <w:color w:val="000000"/>
        </w:rPr>
      </w:pPr>
    </w:p>
    <w:p>
      <w:pPr>
        <w:pStyle w:val="style0"/>
        <w:spacing w:after="0" w:lineRule="auto" w:line="240"/>
        <w:jc w:val="both"/>
        <w:rPr>
          <w:rFonts w:ascii="Calibri" w:cs="Calibri" w:eastAsia="Times New Roman" w:hAnsi="Calibri"/>
          <w:color w:val="000000"/>
          <w:lang w:eastAsia="fr-CM"/>
        </w:rPr>
      </w:pPr>
      <w:r>
        <w:rPr>
          <w:rFonts w:ascii="Calibri" w:cs="Calibri" w:eastAsia="Times New Roman" w:hAnsi="Calibri"/>
          <w:color w:val="000000"/>
          <w:u w:val="single"/>
          <w:lang w:eastAsia="fr-CM"/>
        </w:rPr>
        <w:t>Tableau 18</w:t>
      </w:r>
      <w:r>
        <w:rPr>
          <w:rFonts w:ascii="Calibri" w:cs="Calibri" w:eastAsia="Times New Roman" w:hAnsi="Calibri"/>
          <w:color w:val="000000"/>
          <w:lang w:eastAsia="fr-CM"/>
        </w:rPr>
        <w:t xml:space="preserve"> </w:t>
      </w:r>
      <w:r>
        <w:rPr>
          <w:rFonts w:ascii="Calibri" w:cs="Calibri" w:eastAsia="Times New Roman" w:hAnsi="Calibri"/>
          <w:color w:val="000000"/>
          <w:lang w:eastAsia="fr-CM"/>
        </w:rPr>
        <w:t>:</w:t>
      </w:r>
      <w:r>
        <w:rPr>
          <w:rFonts w:ascii="Calibri" w:cs="Calibri" w:eastAsia="Times New Roman" w:hAnsi="Calibri"/>
          <w:color w:val="000000"/>
          <w:lang w:eastAsia="fr-CM"/>
        </w:rPr>
        <w:t xml:space="preserve">  Distribution par catégorie et par moins des candidats au don de sang au CHRM en 2025 </w:t>
      </w:r>
    </w:p>
    <w:tbl>
      <w:tblPr>
        <w:tblW w:w="5157" w:type="pct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9"/>
        <w:gridCol w:w="1196"/>
        <w:gridCol w:w="1146"/>
        <w:gridCol w:w="1268"/>
        <w:gridCol w:w="1146"/>
        <w:gridCol w:w="1185"/>
        <w:gridCol w:w="1298"/>
        <w:gridCol w:w="1298"/>
      </w:tblGrid>
      <w:tr>
        <w:trPr>
          <w:trHeight w:val="1200" w:hRule="atLeast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  <w:t>Mois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  <w:t>Donneurs bénévoles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  <w:t xml:space="preserve">Donneurs de </w:t>
            </w:r>
            <w:r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  <w:t>famille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  <w:t xml:space="preserve">Donneurs </w:t>
            </w:r>
            <w:r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  <w:t>rémunérés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  <w:t>Donneurs fidélisés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  <w:t>Nouveaux donneurs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  <w:t>Candidats</w:t>
            </w:r>
            <w:r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  <w:t xml:space="preserve"> exclus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  <w:t>Candidats</w:t>
            </w:r>
            <w:r>
              <w:rPr>
                <w:rFonts w:ascii="Verdana" w:cs="Calibri" w:eastAsia="Times New Roman" w:hAnsi="Verdana"/>
                <w:b/>
                <w:bCs/>
                <w:color w:val="ffffff"/>
                <w:sz w:val="20"/>
                <w:szCs w:val="20"/>
                <w:lang w:eastAsia="fr-CM"/>
              </w:rPr>
              <w:t xml:space="preserve"> désistés</w:t>
            </w:r>
          </w:p>
        </w:tc>
      </w:tr>
      <w:tr>
        <w:tblPrEx/>
        <w:trPr>
          <w:trHeight w:val="63" w:hRule="atLeast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Janv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25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</w:tr>
      <w:tr>
        <w:tblPrEx/>
        <w:trPr>
          <w:trHeight w:val="63" w:hRule="atLeast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Fév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15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</w:t>
            </w:r>
          </w:p>
        </w:tc>
      </w:tr>
      <w:tr>
        <w:tblPrEx/>
        <w:trPr>
          <w:trHeight w:val="63" w:hRule="atLeast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Mars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26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</w:tr>
      <w:tr>
        <w:tblPrEx/>
        <w:trPr>
          <w:trHeight w:val="63" w:hRule="atLeast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Avril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37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21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</w:t>
            </w:r>
          </w:p>
        </w:tc>
      </w:tr>
      <w:tr>
        <w:tblPrEx/>
        <w:trPr>
          <w:trHeight w:val="63" w:hRule="atLeast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Mai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12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</w:tr>
      <w:tr>
        <w:tblPrEx/>
        <w:trPr>
          <w:trHeight w:val="63" w:hRule="atLeast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Juin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21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</w:tr>
      <w:tr>
        <w:tblPrEx/>
        <w:trPr>
          <w:trHeight w:val="63" w:hRule="atLeast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Juillet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25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20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</w:t>
            </w:r>
          </w:p>
        </w:tc>
      </w:tr>
      <w:tr>
        <w:tblPrEx/>
        <w:trPr>
          <w:trHeight w:val="63" w:hRule="atLeast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Août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30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</w:tr>
      <w:tr>
        <w:tblPrEx/>
        <w:trPr>
          <w:trHeight w:val="63" w:hRule="atLeast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Sept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4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30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</w:t>
            </w:r>
          </w:p>
        </w:tc>
      </w:tr>
      <w:tr>
        <w:tblPrEx/>
        <w:trPr>
          <w:trHeight w:val="63" w:hRule="atLeast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Oct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42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</w:t>
            </w:r>
          </w:p>
        </w:tc>
      </w:tr>
      <w:tr>
        <w:tblPrEx/>
        <w:trPr>
          <w:trHeight w:val="63" w:hRule="atLeast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Nov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61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32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</w:t>
            </w:r>
          </w:p>
        </w:tc>
      </w:tr>
      <w:tr>
        <w:tblPrEx/>
        <w:trPr>
          <w:trHeight w:val="63" w:hRule="atLeast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Déc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63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28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16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color w:val="000000"/>
                <w:sz w:val="20"/>
                <w:szCs w:val="20"/>
                <w:lang w:eastAsia="fr-CM"/>
              </w:rPr>
              <w:t>0</w:t>
            </w:r>
          </w:p>
        </w:tc>
      </w:tr>
      <w:tr>
        <w:tblPrEx/>
        <w:trPr>
          <w:trHeight w:val="96" w:hRule="atLeast"/>
        </w:trPr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 xml:space="preserve">TOTAL </w:t>
            </w:r>
          </w:p>
        </w:tc>
        <w:tc>
          <w:tcPr>
            <w:tcW w:w="6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387</w:t>
            </w:r>
          </w:p>
        </w:tc>
        <w:tc>
          <w:tcPr>
            <w:tcW w:w="6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197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99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Verdana" w:cs="Calibri" w:eastAsia="Times New Roman" w:hAnsi="Verdana"/>
                <w:b/>
                <w:bCs/>
                <w:color w:val="000000"/>
                <w:sz w:val="20"/>
                <w:szCs w:val="20"/>
                <w:lang w:eastAsia="fr-CM"/>
              </w:rPr>
              <w:t>6</w:t>
            </w:r>
          </w:p>
        </w:tc>
      </w:tr>
    </w:tbl>
    <w:p>
      <w:pPr>
        <w:pStyle w:val="style0"/>
        <w:jc w:val="both"/>
        <w:rPr>
          <w:rFonts w:ascii="Verdana" w:cs="Arial" w:hAnsi="Verdana"/>
          <w:sz w:val="20"/>
          <w:szCs w:val="20"/>
          <w:highlight w:val="yellow"/>
        </w:rPr>
      </w:pPr>
    </w:p>
    <w:p>
      <w:pPr>
        <w:pStyle w:val="style0"/>
        <w:spacing w:after="0" w:lineRule="auto" w:line="240"/>
        <w:jc w:val="both"/>
        <w:rPr>
          <w:rFonts w:ascii="Calibri" w:cs="Calibri" w:eastAsia="Times New Roman" w:hAnsi="Calibri"/>
          <w:color w:val="000000"/>
          <w:sz w:val="18"/>
          <w:szCs w:val="18"/>
          <w:lang w:eastAsia="fr-CM"/>
        </w:rPr>
      </w:pPr>
      <w:r>
        <w:rPr>
          <w:rFonts w:ascii="Calibri" w:cs="Calibri" w:eastAsia="Times New Roman" w:hAnsi="Calibri"/>
          <w:color w:val="000000"/>
          <w:sz w:val="18"/>
          <w:szCs w:val="18"/>
          <w:u w:val="single"/>
          <w:lang w:eastAsia="fr-CM"/>
        </w:rPr>
        <w:t>Tableau</w:t>
      </w:r>
      <w:r>
        <w:rPr>
          <w:rFonts w:ascii="Calibri" w:cs="Calibri" w:eastAsia="Times New Roman" w:hAnsi="Calibri"/>
          <w:color w:val="000000"/>
          <w:sz w:val="18"/>
          <w:szCs w:val="18"/>
          <w:u w:val="single"/>
          <w:lang w:eastAsia="fr-CM"/>
        </w:rPr>
        <w:t xml:space="preserve"> </w:t>
      </w:r>
      <w:r>
        <w:rPr>
          <w:rFonts w:ascii="Calibri" w:cs="Calibri" w:eastAsia="Times New Roman" w:hAnsi="Calibri"/>
          <w:color w:val="000000"/>
          <w:sz w:val="18"/>
          <w:szCs w:val="18"/>
          <w:u w:val="single"/>
          <w:lang w:eastAsia="fr-CM"/>
        </w:rPr>
        <w:t>19</w:t>
      </w:r>
      <w:r>
        <w:rPr>
          <w:rFonts w:ascii="Calibri" w:cs="Calibri" w:eastAsia="Times New Roman" w:hAnsi="Calibri"/>
          <w:color w:val="000000"/>
          <w:sz w:val="18"/>
          <w:szCs w:val="18"/>
          <w:lang w:eastAsia="fr-CM"/>
        </w:rPr>
        <w:t xml:space="preserve"> :</w:t>
      </w:r>
      <w:r>
        <w:rPr>
          <w:rFonts w:ascii="Calibri" w:cs="Calibri" w:eastAsia="Times New Roman" w:hAnsi="Calibri"/>
          <w:color w:val="000000"/>
          <w:sz w:val="18"/>
          <w:szCs w:val="18"/>
          <w:lang w:eastAsia="fr-CM"/>
        </w:rPr>
        <w:t xml:space="preserve">  Distribution par mois, des cas positifs </w:t>
      </w:r>
      <w:bookmarkStart w:id="56" w:name="_Hlk225002537"/>
      <w:r>
        <w:rPr>
          <w:rFonts w:ascii="Calibri" w:cs="Calibri" w:eastAsia="Times New Roman" w:hAnsi="Calibri"/>
          <w:color w:val="000000"/>
          <w:sz w:val="18"/>
          <w:szCs w:val="18"/>
          <w:lang w:eastAsia="fr-CM"/>
        </w:rPr>
        <w:t xml:space="preserve">d'infections transmissibles par la transfusion sanguine </w:t>
      </w:r>
      <w:bookmarkEnd w:id="56"/>
      <w:r>
        <w:rPr>
          <w:rFonts w:ascii="Calibri" w:cs="Calibri" w:eastAsia="Times New Roman" w:hAnsi="Calibri"/>
          <w:color w:val="000000"/>
          <w:sz w:val="18"/>
          <w:szCs w:val="18"/>
          <w:lang w:eastAsia="fr-CM"/>
        </w:rPr>
        <w:t>au CHRM en 2025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7"/>
        <w:gridCol w:w="918"/>
        <w:gridCol w:w="1232"/>
        <w:gridCol w:w="481"/>
        <w:gridCol w:w="811"/>
        <w:gridCol w:w="873"/>
        <w:gridCol w:w="811"/>
        <w:gridCol w:w="842"/>
        <w:gridCol w:w="267"/>
        <w:gridCol w:w="593"/>
        <w:gridCol w:w="497"/>
        <w:gridCol w:w="579"/>
        <w:gridCol w:w="341"/>
      </w:tblGrid>
      <w:tr>
        <w:trPr>
          <w:trHeight w:val="53" w:hRule="atLeast"/>
        </w:trPr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MOIS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 </w:t>
            </w:r>
          </w:p>
        </w:tc>
        <w:tc>
          <w:tcPr>
            <w:tcW w:w="3531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ITT</w:t>
            </w:r>
          </w:p>
        </w:tc>
        <w:tc>
          <w:tcPr>
            <w:tcW w:w="507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TOTAL</w:t>
            </w:r>
          </w:p>
        </w:tc>
      </w:tr>
      <w:tr>
        <w:tblPrEx/>
        <w:trPr>
          <w:trHeight w:val="53" w:hRule="atLeast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 </w:t>
            </w:r>
          </w:p>
        </w:tc>
        <w:tc>
          <w:tcPr>
            <w:tcW w:w="118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VIH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Hépatites B</w:t>
            </w:r>
          </w:p>
        </w:tc>
        <w:tc>
          <w:tcPr>
            <w:tcW w:w="92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Hépatite C</w:t>
            </w:r>
          </w:p>
        </w:tc>
        <w:tc>
          <w:tcPr>
            <w:tcW w:w="61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Syphilis</w:t>
            </w:r>
          </w:p>
        </w:tc>
        <w:tc>
          <w:tcPr>
            <w:tcW w:w="60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Coinfection</w:t>
            </w: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 xml:space="preserve"> VIH/HBV</w:t>
            </w:r>
          </w:p>
        </w:tc>
        <w:tc>
          <w:tcPr>
            <w:tcW w:w="507" w:type="pct"/>
            <w:gridSpan w:val="2"/>
            <w:vMerge w:val="continue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</w:p>
        </w:tc>
      </w:tr>
      <w:tr>
        <w:tblPrEx/>
        <w:trPr>
          <w:trHeight w:val="53" w:hRule="atLeast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H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F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H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F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H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F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H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F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H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F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H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F</w:t>
            </w:r>
          </w:p>
        </w:tc>
      </w:tr>
      <w:tr>
        <w:tblPrEx/>
        <w:trPr>
          <w:trHeight w:val="63" w:hRule="atLeast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Janv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</w:tr>
      <w:tr>
        <w:tblPrEx/>
        <w:trPr>
          <w:trHeight w:val="63" w:hRule="atLeast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Fév.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4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</w:tr>
      <w:tr>
        <w:tblPrEx/>
        <w:trPr>
          <w:trHeight w:val="63" w:hRule="atLeast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Mars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</w:tr>
      <w:tr>
        <w:tblPrEx/>
        <w:trPr>
          <w:trHeight w:val="63" w:hRule="atLeast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Avril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</w:tr>
      <w:tr>
        <w:tblPrEx/>
        <w:trPr>
          <w:trHeight w:val="63" w:hRule="atLeast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Mai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</w:tr>
      <w:tr>
        <w:tblPrEx/>
        <w:trPr>
          <w:trHeight w:val="63" w:hRule="atLeast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Juin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</w:tr>
      <w:tr>
        <w:tblPrEx/>
        <w:trPr>
          <w:trHeight w:val="63" w:hRule="atLeast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Juillet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</w:tr>
      <w:tr>
        <w:tblPrEx/>
        <w:trPr>
          <w:trHeight w:val="63" w:hRule="atLeast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Août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</w:tr>
      <w:tr>
        <w:tblPrEx/>
        <w:trPr>
          <w:trHeight w:val="63" w:hRule="atLeast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Sept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</w:tr>
      <w:tr>
        <w:tblPrEx/>
        <w:trPr>
          <w:trHeight w:val="63" w:hRule="atLeast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Oct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4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4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</w:tr>
      <w:tr>
        <w:tblPrEx/>
        <w:trPr>
          <w:trHeight w:val="63" w:hRule="atLeast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Nov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5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</w:tr>
      <w:tr>
        <w:tblPrEx/>
        <w:trPr>
          <w:trHeight w:val="63" w:hRule="atLeast"/>
        </w:trPr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Déc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67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</w:tr>
      <w:tr>
        <w:tblPrEx/>
        <w:trPr>
          <w:trHeight w:val="63" w:hRule="atLeast"/>
        </w:trPr>
        <w:tc>
          <w:tcPr>
            <w:tcW w:w="456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TOTAL</w:t>
            </w:r>
          </w:p>
        </w:tc>
        <w:tc>
          <w:tcPr>
            <w:tcW w:w="506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679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21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81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4</w:t>
            </w:r>
          </w:p>
        </w:tc>
        <w:tc>
          <w:tcPr>
            <w:tcW w:w="447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464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147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327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29</w:t>
            </w:r>
          </w:p>
        </w:tc>
        <w:tc>
          <w:tcPr>
            <w:tcW w:w="188" w:type="pct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</w:tr>
    </w:tbl>
    <w:p>
      <w:pPr>
        <w:pStyle w:val="style0"/>
        <w:spacing w:before="240" w:after="0"/>
        <w:rPr>
          <w:rFonts w:ascii="Verdana" w:cs="Arial" w:hAnsi="Verdana"/>
          <w:highlight w:val="yellow"/>
        </w:rPr>
      </w:pPr>
    </w:p>
    <w:p>
      <w:pPr>
        <w:pStyle w:val="style0"/>
        <w:spacing w:after="0" w:lineRule="auto" w:line="240"/>
        <w:rPr>
          <w:rFonts w:ascii="Calibri" w:cs="Calibri" w:eastAsia="Times New Roman" w:hAnsi="Calibri"/>
          <w:color w:val="000000"/>
          <w:sz w:val="20"/>
          <w:szCs w:val="20"/>
          <w:lang w:eastAsia="fr-CM"/>
        </w:rPr>
      </w:pPr>
      <w:r>
        <w:rPr>
          <w:rFonts w:ascii="Calibri" w:cs="Calibri" w:eastAsia="Times New Roman" w:hAnsi="Calibri"/>
          <w:color w:val="000000"/>
          <w:sz w:val="20"/>
          <w:szCs w:val="20"/>
          <w:u w:val="single"/>
          <w:lang w:eastAsia="fr-CM"/>
        </w:rPr>
        <w:t>Tableau</w:t>
      </w:r>
      <w:r>
        <w:rPr>
          <w:rFonts w:ascii="Calibri" w:cs="Calibri" w:eastAsia="Times New Roman" w:hAnsi="Calibri"/>
          <w:color w:val="000000"/>
          <w:sz w:val="20"/>
          <w:szCs w:val="20"/>
          <w:u w:val="single"/>
          <w:lang w:eastAsia="fr-CM"/>
        </w:rPr>
        <w:t xml:space="preserve"> </w:t>
      </w:r>
      <w:r>
        <w:rPr>
          <w:rFonts w:ascii="Calibri" w:cs="Calibri" w:eastAsia="Times New Roman" w:hAnsi="Calibri"/>
          <w:color w:val="000000"/>
          <w:sz w:val="20"/>
          <w:szCs w:val="20"/>
          <w:u w:val="single"/>
          <w:lang w:eastAsia="fr-CM"/>
        </w:rPr>
        <w:t>20</w:t>
      </w:r>
      <w:r>
        <w:rPr>
          <w:rFonts w:ascii="Calibri" w:cs="Calibri" w:eastAsia="Times New Roman" w:hAnsi="Calibri"/>
          <w:color w:val="000000"/>
          <w:sz w:val="20"/>
          <w:szCs w:val="20"/>
          <w:lang w:eastAsia="fr-CM"/>
        </w:rPr>
        <w:t xml:space="preserve"> :</w:t>
      </w:r>
      <w:r>
        <w:rPr>
          <w:rFonts w:ascii="Calibri" w:cs="Calibri" w:eastAsia="Times New Roman" w:hAnsi="Calibri"/>
          <w:color w:val="000000"/>
          <w:sz w:val="20"/>
          <w:szCs w:val="20"/>
          <w:lang w:eastAsia="fr-CM"/>
        </w:rPr>
        <w:t xml:space="preserve">  Distribution en fonction du groupe sanguin, des poches de sang transfusées au CHRM en 2025</w:t>
      </w:r>
    </w:p>
    <w:tbl>
      <w:tblPr>
        <w:tblW w:w="3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8"/>
        <w:gridCol w:w="943"/>
        <w:gridCol w:w="820"/>
      </w:tblGrid>
      <w:tr>
        <w:trPr>
          <w:trHeight w:val="615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b/>
                <w:bCs/>
                <w:color w:val="ffffff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lang w:eastAsia="fr-CM"/>
              </w:rPr>
              <w:t>Groupê</w:t>
            </w:r>
            <w:r>
              <w:rPr>
                <w:rFonts w:ascii="Calibri" w:cs="Calibri" w:eastAsia="Times New Roman" w:hAnsi="Calibri"/>
                <w:b/>
                <w:bCs/>
                <w:color w:val="ffffff"/>
                <w:lang w:eastAsia="fr-CM"/>
              </w:rPr>
              <w:t xml:space="preserve"> Sanguin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lang w:eastAsia="fr-CM"/>
              </w:rPr>
              <w:t>Nombre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lang w:eastAsia="fr-CM"/>
              </w:rPr>
              <w:t>%</w:t>
            </w:r>
          </w:p>
        </w:tc>
      </w:tr>
      <w:tr>
        <w:tblPrEx/>
        <w:trPr>
          <w:trHeight w:val="30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b/>
                <w:bCs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lang w:eastAsia="fr-CM"/>
              </w:rPr>
              <w:t>O+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lang w:eastAsia="fr-CM"/>
              </w:rPr>
              <w:t>128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lang w:eastAsia="fr-CM"/>
              </w:rPr>
              <w:t>50,6</w:t>
            </w:r>
          </w:p>
        </w:tc>
      </w:tr>
      <w:tr>
        <w:tblPrEx/>
        <w:trPr>
          <w:trHeight w:val="30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b/>
                <w:bCs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lang w:eastAsia="fr-CM"/>
              </w:rPr>
              <w:t>A+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lang w:eastAsia="fr-CM"/>
              </w:rPr>
              <w:t>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lang w:eastAsia="fr-CM"/>
              </w:rPr>
              <w:t>23,3</w:t>
            </w:r>
          </w:p>
        </w:tc>
      </w:tr>
      <w:tr>
        <w:tblPrEx/>
        <w:trPr>
          <w:trHeight w:val="30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b/>
                <w:bCs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lang w:eastAsia="fr-CM"/>
              </w:rPr>
              <w:t>B+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lang w:eastAsia="fr-CM"/>
              </w:rPr>
              <w:t>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lang w:eastAsia="fr-CM"/>
              </w:rPr>
              <w:t>16,2</w:t>
            </w:r>
          </w:p>
        </w:tc>
      </w:tr>
      <w:tr>
        <w:tblPrEx/>
        <w:trPr>
          <w:trHeight w:val="30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b/>
                <w:bCs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lang w:eastAsia="fr-CM"/>
              </w:rPr>
              <w:t>AB+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lang w:eastAsia="fr-CM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lang w:eastAsia="fr-CM"/>
              </w:rPr>
              <w:t>4,0</w:t>
            </w:r>
          </w:p>
        </w:tc>
      </w:tr>
      <w:tr>
        <w:tblPrEx/>
        <w:trPr>
          <w:trHeight w:val="30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b/>
                <w:bCs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lang w:eastAsia="fr-CM"/>
              </w:rPr>
              <w:t>O-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lang w:eastAsia="fr-CM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lang w:eastAsia="fr-CM"/>
              </w:rPr>
              <w:t>4,3</w:t>
            </w:r>
          </w:p>
        </w:tc>
      </w:tr>
      <w:tr>
        <w:tblPrEx/>
        <w:trPr>
          <w:trHeight w:val="30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b/>
                <w:bCs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lang w:eastAsia="fr-CM"/>
              </w:rPr>
              <w:t>A-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lang w:eastAsia="fr-CM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lang w:eastAsia="fr-CM"/>
              </w:rPr>
              <w:t>0,8</w:t>
            </w:r>
          </w:p>
        </w:tc>
      </w:tr>
      <w:tr>
        <w:tblPrEx/>
        <w:trPr>
          <w:trHeight w:val="30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b/>
                <w:bCs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lang w:eastAsia="fr-CM"/>
              </w:rPr>
              <w:t>B-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lang w:eastAsia="fr-CM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lang w:eastAsia="fr-CM"/>
              </w:rPr>
              <w:t>0,8</w:t>
            </w:r>
          </w:p>
        </w:tc>
      </w:tr>
      <w:tr>
        <w:tblPrEx/>
        <w:trPr>
          <w:trHeight w:val="300" w:hRule="atLeast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b/>
                <w:bCs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lang w:eastAsia="fr-CM"/>
              </w:rPr>
              <w:t>AB-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lang w:eastAsia="fr-CM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lang w:eastAsia="fr-CM"/>
              </w:rPr>
              <w:t>0,0</w:t>
            </w:r>
          </w:p>
        </w:tc>
      </w:tr>
      <w:tr>
        <w:tblPrEx/>
        <w:trPr>
          <w:trHeight w:val="315" w:hRule="atLeast"/>
        </w:trPr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b/>
                <w:bCs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lang w:eastAsia="fr-CM"/>
              </w:rPr>
              <w:t>TOTAL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lang w:eastAsia="fr-CM"/>
              </w:rPr>
              <w:t>253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lang w:eastAsia="fr-CM"/>
              </w:rPr>
              <w:t>100,0</w:t>
            </w:r>
          </w:p>
        </w:tc>
      </w:tr>
    </w:tbl>
    <w:p>
      <w:pPr>
        <w:pStyle w:val="style0"/>
        <w:jc w:val="both"/>
        <w:rPr>
          <w:rFonts w:ascii="Verdana" w:cs="Arial" w:hAnsi="Verdana"/>
          <w:b/>
          <w:highlight w:val="yellow"/>
          <w:u w:val="single"/>
        </w:rPr>
      </w:pPr>
    </w:p>
    <w:p>
      <w:pPr>
        <w:pStyle w:val="style0"/>
        <w:jc w:val="both"/>
        <w:rPr>
          <w:rFonts w:ascii="Verdana" w:cs="Arial" w:hAnsi="Verdana"/>
          <w:b/>
          <w:highlight w:val="yellow"/>
          <w:u w:val="single"/>
        </w:rPr>
      </w:pPr>
    </w:p>
    <w:p>
      <w:pPr>
        <w:pStyle w:val="style0"/>
        <w:spacing w:after="0"/>
        <w:jc w:val="both"/>
        <w:rPr>
          <w:rFonts w:ascii="Verdana" w:hAnsi="Verdana"/>
        </w:rPr>
      </w:pPr>
      <w:r>
        <w:rPr>
          <w:rFonts w:ascii="Verdana" w:cs="Arial" w:hAnsi="Verdana"/>
          <w:b/>
          <w:bCs/>
          <w:u w:val="single"/>
        </w:rPr>
        <w:t>Tableau </w:t>
      </w:r>
      <w:r>
        <w:rPr>
          <w:rFonts w:ascii="Verdana" w:cs="Arial" w:hAnsi="Verdana"/>
          <w:b/>
          <w:bCs/>
          <w:u w:val="single"/>
        </w:rPr>
        <w:t>21</w:t>
      </w:r>
      <w:r>
        <w:rPr>
          <w:rFonts w:ascii="Verdana" w:hAnsi="Verdana"/>
        </w:rPr>
        <w:t xml:space="preserve"> :</w:t>
      </w:r>
      <w:r>
        <w:rPr>
          <w:rFonts w:ascii="Verdana" w:hAnsi="Verdana"/>
        </w:rPr>
        <w:t xml:space="preserve"> Principaux indicateurs d’hémovigilance </w:t>
      </w:r>
      <w:r>
        <w:rPr>
          <w:rFonts w:ascii="Verdana" w:hAnsi="Verdana"/>
        </w:rPr>
        <w:t>au CHRM en 2025</w:t>
      </w:r>
    </w:p>
    <w:tbl>
      <w:tblPr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6"/>
        <w:gridCol w:w="1282"/>
        <w:gridCol w:w="966"/>
        <w:gridCol w:w="1282"/>
        <w:gridCol w:w="967"/>
        <w:gridCol w:w="1153"/>
        <w:gridCol w:w="967"/>
        <w:gridCol w:w="1649"/>
      </w:tblGrid>
      <w:tr>
        <w:trPr>
          <w:trHeight w:val="1515" w:hRule="atLeast"/>
        </w:trPr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8"/>
                <w:szCs w:val="28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8"/>
                <w:szCs w:val="28"/>
                <w:lang w:eastAsia="fr-CM"/>
              </w:rPr>
              <w:t>Nbre Poches collectées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8"/>
                <w:szCs w:val="28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8"/>
                <w:szCs w:val="28"/>
                <w:lang w:eastAsia="fr-CM"/>
              </w:rPr>
              <w:t>Malaises per don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8"/>
                <w:szCs w:val="28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8"/>
                <w:szCs w:val="28"/>
                <w:lang w:eastAsia="fr-CM"/>
              </w:rPr>
              <w:t>%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8"/>
                <w:szCs w:val="28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8"/>
                <w:szCs w:val="28"/>
                <w:lang w:eastAsia="fr-CM"/>
              </w:rPr>
              <w:t>Malaises post don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8"/>
                <w:szCs w:val="28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8"/>
                <w:szCs w:val="28"/>
                <w:lang w:eastAsia="fr-CM"/>
              </w:rPr>
              <w:t>%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8"/>
                <w:szCs w:val="28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8"/>
                <w:szCs w:val="28"/>
                <w:lang w:eastAsia="fr-CM"/>
              </w:rPr>
              <w:t>Nbre Poches non pleines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8"/>
                <w:szCs w:val="28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8"/>
                <w:szCs w:val="28"/>
                <w:lang w:eastAsia="fr-CM"/>
              </w:rPr>
              <w:t>%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8"/>
                <w:szCs w:val="28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8"/>
                <w:szCs w:val="28"/>
                <w:lang w:eastAsia="fr-CM"/>
              </w:rPr>
              <w:t>Nbre Poches transfusées</w:t>
            </w:r>
          </w:p>
        </w:tc>
      </w:tr>
      <w:tr>
        <w:tblPrEx/>
        <w:trPr>
          <w:trHeight w:val="525" w:hRule="atLeast"/>
        </w:trPr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lang w:eastAsia="fr-CM"/>
              </w:rPr>
              <w:t>302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lang w:eastAsia="fr-CM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lang w:eastAsia="fr-CM"/>
              </w:rPr>
              <w:t>1,0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lang w:eastAsia="fr-CM"/>
              </w:rPr>
              <w:t>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lang w:eastAsia="fr-CM"/>
              </w:rPr>
              <w:t>0,3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lang w:eastAsia="fr-CM"/>
              </w:rPr>
              <w:t>4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lang w:eastAsia="fr-CM"/>
              </w:rPr>
              <w:t>1,3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lang w:eastAsia="fr-CM"/>
              </w:rPr>
              <w:t>252</w:t>
            </w:r>
          </w:p>
        </w:tc>
      </w:tr>
    </w:tbl>
    <w:p>
      <w:pPr>
        <w:pStyle w:val="style0"/>
        <w:jc w:val="both"/>
        <w:rPr>
          <w:rFonts w:ascii="Verdana" w:cs="Arial" w:hAnsi="Verdana"/>
          <w:b/>
          <w:highlight w:val="yellow"/>
          <w:u w:val="single"/>
        </w:rPr>
      </w:pPr>
    </w:p>
    <w:p>
      <w:pPr>
        <w:pStyle w:val="style0"/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cs="Arial" w:hAnsi="Verdana"/>
          <w:b/>
          <w:bCs/>
          <w:sz w:val="18"/>
          <w:szCs w:val="18"/>
          <w:u w:val="single"/>
        </w:rPr>
        <w:t>Tableau </w:t>
      </w:r>
      <w:r>
        <w:rPr>
          <w:rFonts w:ascii="Verdana" w:cs="Arial" w:hAnsi="Verdana"/>
          <w:b/>
          <w:bCs/>
          <w:sz w:val="18"/>
          <w:szCs w:val="18"/>
          <w:u w:val="single"/>
        </w:rPr>
        <w:t>22</w:t>
      </w:r>
      <w:r>
        <w:rPr>
          <w:rFonts w:ascii="Verdana" w:hAnsi="Verdana"/>
          <w:sz w:val="18"/>
          <w:szCs w:val="18"/>
        </w:rPr>
        <w:t xml:space="preserve"> :</w:t>
      </w:r>
      <w:r>
        <w:rPr>
          <w:rFonts w:ascii="Verdana" w:hAnsi="Verdana"/>
          <w:sz w:val="18"/>
          <w:szCs w:val="18"/>
        </w:rPr>
        <w:t xml:space="preserve"> Destination des poches de sang sorties d</w:t>
      </w:r>
      <w:r>
        <w:rPr>
          <w:rFonts w:ascii="Verdana" w:hAnsi="Verdana"/>
          <w:sz w:val="18"/>
          <w:szCs w:val="18"/>
        </w:rPr>
        <w:t>e la banque de sang du CHRM en 2025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1131"/>
        <w:gridCol w:w="430"/>
        <w:gridCol w:w="415"/>
        <w:gridCol w:w="541"/>
        <w:gridCol w:w="487"/>
        <w:gridCol w:w="431"/>
        <w:gridCol w:w="474"/>
        <w:gridCol w:w="378"/>
        <w:gridCol w:w="511"/>
        <w:gridCol w:w="496"/>
        <w:gridCol w:w="413"/>
        <w:gridCol w:w="450"/>
        <w:gridCol w:w="442"/>
        <w:gridCol w:w="683"/>
        <w:gridCol w:w="502"/>
      </w:tblGrid>
      <w:tr>
        <w:trPr>
          <w:trHeight w:val="449" w:hRule="atLeast"/>
        </w:trPr>
        <w:tc>
          <w:tcPr>
            <w:tcW w:w="8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Service HRM/FOSA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FOSA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18"/>
                <w:szCs w:val="18"/>
                <w:lang w:eastAsia="fr-CM"/>
              </w:rPr>
              <w:t>Jan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18"/>
                <w:szCs w:val="18"/>
                <w:lang w:eastAsia="fr-CM"/>
              </w:rPr>
              <w:t>Fév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18"/>
                <w:szCs w:val="18"/>
                <w:lang w:eastAsia="fr-CM"/>
              </w:rPr>
              <w:t>Mars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18"/>
                <w:szCs w:val="18"/>
                <w:lang w:eastAsia="fr-CM"/>
              </w:rPr>
              <w:t>Avril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18"/>
                <w:szCs w:val="18"/>
                <w:lang w:eastAsia="fr-CM"/>
              </w:rPr>
              <w:t>Mai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18"/>
                <w:szCs w:val="18"/>
                <w:lang w:eastAsia="fr-CM"/>
              </w:rPr>
              <w:t>Juin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18"/>
                <w:szCs w:val="18"/>
                <w:lang w:eastAsia="fr-CM"/>
              </w:rPr>
              <w:t>Jui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18"/>
                <w:szCs w:val="18"/>
                <w:lang w:eastAsia="fr-CM"/>
              </w:rPr>
              <w:t>Août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18"/>
                <w:szCs w:val="18"/>
                <w:lang w:eastAsia="fr-CM"/>
              </w:rPr>
              <w:t>Sept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18"/>
                <w:szCs w:val="18"/>
                <w:lang w:eastAsia="fr-CM"/>
              </w:rPr>
              <w:t>Oct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18"/>
                <w:szCs w:val="18"/>
                <w:lang w:eastAsia="fr-CM"/>
              </w:rPr>
              <w:t>Nov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18"/>
                <w:szCs w:val="18"/>
                <w:lang w:eastAsia="fr-CM"/>
              </w:rPr>
              <w:t>Déc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18"/>
                <w:szCs w:val="18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18"/>
                <w:szCs w:val="18"/>
                <w:lang w:eastAsia="fr-CM"/>
              </w:rPr>
              <w:t>TOTAL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ffffff"/>
                <w:sz w:val="20"/>
                <w:szCs w:val="20"/>
                <w:lang w:eastAsia="fr-CM"/>
              </w:rPr>
              <w:t>%</w:t>
            </w:r>
          </w:p>
        </w:tc>
      </w:tr>
      <w:tr>
        <w:tblPrEx/>
        <w:trPr>
          <w:trHeight w:val="63" w:hRule="atLeast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Bloc opératoire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CHRM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4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8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10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13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83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33,2</w:t>
            </w:r>
          </w:p>
        </w:tc>
      </w:tr>
      <w:tr>
        <w:tblPrEx/>
        <w:trPr>
          <w:trHeight w:val="63" w:hRule="atLeast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Chirurgie Hospi polyvalente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CHRM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6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7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6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6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49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19,6</w:t>
            </w:r>
          </w:p>
        </w:tc>
      </w:tr>
      <w:tr>
        <w:tblPrEx/>
        <w:trPr>
          <w:trHeight w:val="63" w:hRule="atLeast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Hospi Gynéco-obst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CHRM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5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28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11,2</w:t>
            </w:r>
          </w:p>
        </w:tc>
      </w:tr>
      <w:tr>
        <w:tblPrEx/>
        <w:trPr>
          <w:trHeight w:val="63" w:hRule="atLeast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Hospi Médecine Interne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CHRM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20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36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14,4</w:t>
            </w:r>
          </w:p>
        </w:tc>
      </w:tr>
      <w:tr>
        <w:tblPrEx/>
        <w:trPr>
          <w:trHeight w:val="63" w:hRule="atLeast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Néonatalogie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CHRM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1,6</w:t>
            </w:r>
          </w:p>
        </w:tc>
      </w:tr>
      <w:tr>
        <w:tblPrEx/>
        <w:trPr>
          <w:trHeight w:val="63" w:hRule="atLeast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Pédiatrie gnle Hospi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CHRM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6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2,4</w:t>
            </w:r>
          </w:p>
        </w:tc>
      </w:tr>
      <w:tr>
        <w:tblPrEx/>
        <w:trPr>
          <w:trHeight w:val="63" w:hRule="atLeast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Réanimation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CHRM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4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3,6</w:t>
            </w:r>
          </w:p>
        </w:tc>
      </w:tr>
      <w:tr>
        <w:tblPrEx/>
        <w:trPr>
          <w:trHeight w:val="63" w:hRule="atLeast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Urgences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CHRM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4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5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9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29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11,6</w:t>
            </w:r>
          </w:p>
        </w:tc>
      </w:tr>
      <w:tr>
        <w:tblPrEx/>
        <w:trPr>
          <w:trHeight w:val="63" w:hRule="atLeast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FOSA Publique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EXT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5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2</w:t>
            </w:r>
          </w:p>
        </w:tc>
      </w:tr>
      <w:tr>
        <w:tblPrEx/>
        <w:trPr>
          <w:trHeight w:val="63" w:hRule="atLeast"/>
        </w:trPr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FOSA Privée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EXT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ff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color w:val="000000"/>
                <w:sz w:val="20"/>
                <w:szCs w:val="20"/>
                <w:lang w:eastAsia="fr-CM"/>
              </w:rPr>
              <w:t>0,4</w:t>
            </w:r>
          </w:p>
        </w:tc>
      </w:tr>
      <w:tr>
        <w:tblPrEx/>
        <w:trPr>
          <w:trHeight w:val="390" w:hRule="atLeast"/>
        </w:trPr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TOTAL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CHRM/EXT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12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19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27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10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19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19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24</w:t>
            </w:r>
          </w:p>
        </w:tc>
        <w:tc>
          <w:tcPr>
            <w:tcW w:w="2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23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30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50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250</w:t>
            </w:r>
          </w:p>
        </w:tc>
        <w:tc>
          <w:tcPr>
            <w:tcW w:w="2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Calibri" w:cs="Calibri" w:eastAsia="Times New Roman" w:hAnsi="Calibri"/>
                <w:b/>
                <w:bCs/>
                <w:color w:val="000000"/>
                <w:sz w:val="20"/>
                <w:szCs w:val="20"/>
                <w:lang w:eastAsia="fr-CM"/>
              </w:rPr>
              <w:t>100</w:t>
            </w:r>
          </w:p>
        </w:tc>
      </w:tr>
    </w:tbl>
    <w:p>
      <w:pPr>
        <w:pStyle w:val="style0"/>
        <w:jc w:val="both"/>
        <w:rPr>
          <w:rFonts w:ascii="Verdana" w:cs="Arial" w:hAnsi="Verdana"/>
          <w:b/>
          <w:sz w:val="10"/>
          <w:szCs w:val="10"/>
          <w:highlight w:val="yellow"/>
          <w:u w:val="single"/>
        </w:rPr>
      </w:pPr>
    </w:p>
    <w:bookmarkStart w:id="57" w:name="_Toc225355712"/>
    <w:p>
      <w:pPr>
        <w:pStyle w:val="style3"/>
        <w:rPr>
          <w:sz w:val="20"/>
          <w:szCs w:val="20"/>
        </w:rPr>
      </w:pPr>
      <w:r>
        <w:t>LA MORTALITÉ INTRA-HOSPITALIÈRE</w:t>
      </w:r>
      <w:bookmarkEnd w:id="55"/>
      <w:bookmarkEnd w:id="57"/>
    </w:p>
    <w:p>
      <w:pPr>
        <w:pStyle w:val="style0"/>
        <w:jc w:val="both"/>
        <w:rPr>
          <w:rFonts w:ascii="Verdana" w:cs="Arial" w:hAnsi="Verdana"/>
          <w:lang w:eastAsia="en-US"/>
        </w:rPr>
      </w:pPr>
      <w:r>
        <w:rPr>
          <w:rFonts w:ascii="Verdana" w:cs="Arial" w:hAnsi="Verdana"/>
          <w:lang w:eastAsia="en-US"/>
        </w:rPr>
        <w:t>Dans les services d’hospitalisation, comme nous pouvons le constater dans le tableau ci-dessous, nous avons enregistré au cours de l’année 202</w:t>
      </w:r>
      <w:r>
        <w:rPr>
          <w:rFonts w:ascii="Verdana" w:cs="Arial" w:hAnsi="Verdana"/>
          <w:lang w:eastAsia="en-US"/>
        </w:rPr>
        <w:t>5</w:t>
      </w:r>
      <w:r>
        <w:rPr>
          <w:rFonts w:ascii="Verdana" w:cs="Arial" w:hAnsi="Verdana"/>
          <w:lang w:eastAsia="en-US"/>
        </w:rPr>
        <w:t xml:space="preserve">, </w:t>
      </w:r>
      <w:r>
        <w:rPr>
          <w:rFonts w:ascii="Verdana" w:cs="Arial" w:hAnsi="Verdana"/>
          <w:lang w:eastAsia="en-US"/>
        </w:rPr>
        <w:t>25</w:t>
      </w:r>
      <w:r>
        <w:rPr>
          <w:rFonts w:ascii="Verdana" w:cs="Arial" w:hAnsi="Verdana"/>
          <w:lang w:eastAsia="en-US"/>
        </w:rPr>
        <w:t xml:space="preserve"> décès ; rapportés aux </w:t>
      </w:r>
      <w:r>
        <w:rPr>
          <w:rFonts w:ascii="Verdana" w:cs="Arial" w:hAnsi="Verdana"/>
          <w:lang w:eastAsia="en-US"/>
        </w:rPr>
        <w:t>951</w:t>
      </w:r>
      <w:r>
        <w:rPr>
          <w:rFonts w:ascii="Verdana" w:cs="Arial" w:hAnsi="Verdana"/>
          <w:lang w:eastAsia="en-US"/>
        </w:rPr>
        <w:t xml:space="preserve"> hospitalisations, nous avons un taux de décès de </w:t>
      </w:r>
      <w:r>
        <w:rPr>
          <w:rFonts w:ascii="Verdana" w:cs="Arial" w:hAnsi="Verdana"/>
          <w:lang w:eastAsia="en-US"/>
        </w:rPr>
        <w:t>2</w:t>
      </w:r>
      <w:r>
        <w:rPr>
          <w:rFonts w:ascii="Verdana" w:cs="Arial" w:hAnsi="Verdana"/>
          <w:lang w:eastAsia="en-US"/>
        </w:rPr>
        <w:t>,</w:t>
      </w:r>
      <w:r>
        <w:rPr>
          <w:rFonts w:ascii="Verdana" w:cs="Arial" w:hAnsi="Verdana"/>
          <w:lang w:eastAsia="en-US"/>
        </w:rPr>
        <w:t>6</w:t>
      </w:r>
      <w:r>
        <w:rPr>
          <w:rFonts w:ascii="Verdana" w:cs="Arial" w:hAnsi="Verdana"/>
          <w:lang w:eastAsia="en-US"/>
        </w:rPr>
        <w:t>%.</w:t>
      </w:r>
    </w:p>
    <w:p>
      <w:pPr>
        <w:pStyle w:val="style0"/>
        <w:jc w:val="both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lang w:eastAsia="en-US"/>
        </w:rPr>
        <w:t>On se rend aisément compte que </w:t>
      </w:r>
      <w:r>
        <w:rPr>
          <w:rFonts w:ascii="Verdana" w:cs="Arial" w:hAnsi="Verdana"/>
          <w:sz w:val="24"/>
          <w:szCs w:val="24"/>
        </w:rPr>
        <w:t>l</w:t>
      </w:r>
      <w:r>
        <w:rPr>
          <w:rFonts w:ascii="Verdana" w:cs="Arial" w:hAnsi="Verdana"/>
          <w:sz w:val="24"/>
          <w:szCs w:val="24"/>
        </w:rPr>
        <w:t xml:space="preserve">e taux de décès le plus élevé est enregistré </w:t>
      </w:r>
      <w:r>
        <w:rPr>
          <w:rFonts w:ascii="Verdana" w:cs="Arial" w:hAnsi="Verdana"/>
          <w:sz w:val="24"/>
          <w:szCs w:val="24"/>
        </w:rPr>
        <w:t>aux urgences</w:t>
      </w:r>
      <w:r>
        <w:rPr>
          <w:rFonts w:ascii="Verdana" w:cs="Arial" w:hAnsi="Verdana"/>
          <w:sz w:val="24"/>
          <w:szCs w:val="24"/>
        </w:rPr>
        <w:t xml:space="preserve"> (</w:t>
      </w:r>
      <w:r>
        <w:rPr>
          <w:rFonts w:ascii="Verdana" w:cs="Arial" w:hAnsi="Verdana"/>
          <w:sz w:val="24"/>
          <w:szCs w:val="24"/>
        </w:rPr>
        <w:t>56</w:t>
      </w:r>
      <w:r>
        <w:rPr>
          <w:rFonts w:ascii="Verdana" w:cs="Arial" w:hAnsi="Verdana"/>
          <w:sz w:val="24"/>
          <w:szCs w:val="24"/>
        </w:rPr>
        <w:t>%)</w:t>
      </w:r>
      <w:r>
        <w:rPr>
          <w:rFonts w:ascii="Verdana" w:cs="Arial" w:hAnsi="Verdana"/>
          <w:sz w:val="24"/>
          <w:szCs w:val="24"/>
        </w:rPr>
        <w:t xml:space="preserve">. En effet, il faut noter que 5 des 14 </w:t>
      </w:r>
      <w:r>
        <w:rPr>
          <w:rFonts w:ascii="Verdana" w:cs="Arial" w:hAnsi="Verdana"/>
          <w:sz w:val="24"/>
          <w:szCs w:val="24"/>
        </w:rPr>
        <w:t>décès enregistrés aux urgences étaient arrivés déjà décédés.</w:t>
      </w:r>
    </w:p>
    <w:p>
      <w:pPr>
        <w:pStyle w:val="style0"/>
        <w:spacing w:after="0"/>
        <w:jc w:val="both"/>
        <w:rPr>
          <w:rFonts w:ascii="Verdana" w:cs="Arial" w:hAnsi="Verdana"/>
          <w:sz w:val="20"/>
          <w:szCs w:val="20"/>
          <w:lang w:eastAsia="en-US"/>
        </w:rPr>
      </w:pPr>
      <w:r>
        <w:rPr>
          <w:rFonts w:ascii="Verdana" w:cs="Arial" w:hAnsi="Verdana"/>
          <w:sz w:val="20"/>
          <w:szCs w:val="20"/>
        </w:rPr>
        <w:t xml:space="preserve"> </w:t>
      </w:r>
      <w:r>
        <w:rPr>
          <w:rFonts w:ascii="Verdana" w:cs="Arial" w:hAnsi="Verdana"/>
          <w:sz w:val="20"/>
          <w:szCs w:val="20"/>
          <w:u w:val="single"/>
        </w:rPr>
        <w:t>Tableau 23</w:t>
      </w:r>
      <w:r>
        <w:rPr>
          <w:rFonts w:ascii="Verdana" w:cs="Arial" w:hAnsi="Verdana"/>
          <w:sz w:val="20"/>
          <w:szCs w:val="20"/>
        </w:rPr>
        <w:t> : distribution par mois et par service, des décès enregistrés au CHRM en 2025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2"/>
        <w:gridCol w:w="564"/>
        <w:gridCol w:w="452"/>
        <w:gridCol w:w="594"/>
        <w:gridCol w:w="530"/>
        <w:gridCol w:w="470"/>
        <w:gridCol w:w="518"/>
        <w:gridCol w:w="456"/>
        <w:gridCol w:w="560"/>
        <w:gridCol w:w="542"/>
        <w:gridCol w:w="448"/>
        <w:gridCol w:w="492"/>
        <w:gridCol w:w="482"/>
        <w:gridCol w:w="756"/>
      </w:tblGrid>
      <w:tr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b/>
                <w:bCs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ffffff"/>
                <w:sz w:val="20"/>
                <w:szCs w:val="20"/>
                <w:lang w:eastAsia="fr-CM"/>
              </w:rPr>
              <w:t>Services</w:t>
            </w:r>
            <w:r>
              <w:rPr>
                <w:rFonts w:ascii="Arial" w:cs="Arial" w:eastAsia="Times New Roman" w:hAnsi="Arial"/>
                <w:b/>
                <w:bCs/>
                <w:color w:val="ffffff"/>
                <w:sz w:val="20"/>
                <w:szCs w:val="20"/>
                <w:lang w:eastAsia="fr-CM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  <w:t>Janv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  <w:t>Fév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  <w:t>Mars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  <w:t>Avril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  <w:t>Mai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  <w:t>Juin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  <w:t>Juil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  <w:t xml:space="preserve">Août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  <w:t>Sept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  <w:t>Oct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  <w:t>Nov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  <w:t>Déc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ffffff"/>
                <w:sz w:val="20"/>
                <w:szCs w:val="20"/>
                <w:lang w:eastAsia="fr-CM"/>
              </w:rPr>
              <w:t>TOTAL</w:t>
            </w:r>
          </w:p>
        </w:tc>
      </w:tr>
      <w:tr>
        <w:tblPrEx/>
        <w:trPr>
          <w:trHeight w:val="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Chirurgie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0"/>
                <w:lang w:eastAsia="fr-CM"/>
              </w:rPr>
              <w:t>1</w:t>
            </w:r>
          </w:p>
        </w:tc>
      </w:tr>
      <w:tr>
        <w:tblPrEx/>
        <w:trPr>
          <w:trHeight w:val="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 xml:space="preserve">Gynéco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0"/>
                <w:lang w:eastAsia="fr-CM"/>
              </w:rPr>
              <w:t>0</w:t>
            </w:r>
          </w:p>
        </w:tc>
      </w:tr>
      <w:tr>
        <w:tblPrEx/>
        <w:trPr>
          <w:trHeight w:val="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Médecine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0"/>
                <w:lang w:eastAsia="fr-CM"/>
              </w:rPr>
              <w:t>5</w:t>
            </w:r>
          </w:p>
        </w:tc>
      </w:tr>
      <w:tr>
        <w:tblPrEx/>
        <w:trPr>
          <w:trHeight w:val="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Néonatalogie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0"/>
                <w:lang w:eastAsia="fr-CM"/>
              </w:rPr>
              <w:t>0</w:t>
            </w:r>
          </w:p>
        </w:tc>
      </w:tr>
      <w:tr>
        <w:tblPrEx/>
        <w:trPr>
          <w:trHeight w:val="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Pédiatrie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0"/>
                <w:lang w:eastAsia="fr-CM"/>
              </w:rPr>
              <w:t>0</w:t>
            </w:r>
          </w:p>
        </w:tc>
      </w:tr>
      <w:tr>
        <w:tblPrEx/>
        <w:trPr>
          <w:trHeight w:val="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Réanimation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0"/>
                <w:lang w:eastAsia="fr-CM"/>
              </w:rPr>
              <w:t>5</w:t>
            </w:r>
          </w:p>
        </w:tc>
      </w:tr>
      <w:tr>
        <w:tblPrEx/>
        <w:trPr>
          <w:trHeight w:val="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Urgences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sz w:val="20"/>
                <w:szCs w:val="20"/>
                <w:lang w:eastAsia="fr-CM"/>
              </w:rPr>
              <w:t>14</w:t>
            </w:r>
          </w:p>
        </w:tc>
      </w:tr>
      <w:tr>
        <w:tblPrEx/>
        <w:trPr>
          <w:trHeight w:val="58" w:hRule="atLeast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sz w:val="20"/>
                <w:szCs w:val="20"/>
                <w:lang w:eastAsia="fr-CM"/>
              </w:rPr>
              <w:t>25</w:t>
            </w:r>
          </w:p>
        </w:tc>
      </w:tr>
    </w:tbl>
    <w:p>
      <w:pPr>
        <w:pStyle w:val="style0"/>
        <w:jc w:val="both"/>
        <w:rPr>
          <w:rFonts w:ascii="Verdana" w:cs="Arial" w:hAnsi="Verdana"/>
          <w:sz w:val="20"/>
          <w:szCs w:val="20"/>
          <w:highlight w:val="yellow"/>
          <w:lang w:eastAsia="en-US"/>
        </w:rPr>
      </w:pPr>
    </w:p>
    <w:p>
      <w:pPr>
        <w:pStyle w:val="style0"/>
        <w:jc w:val="both"/>
        <w:rPr>
          <w:rFonts w:ascii="Verdana" w:cs="Arial" w:hAnsi="Verdana"/>
          <w:color w:val="00b050"/>
          <w:sz w:val="20"/>
          <w:szCs w:val="20"/>
          <w:highlight w:val="yellow"/>
          <w:lang w:eastAsia="en-US"/>
        </w:rPr>
      </w:pPr>
    </w:p>
    <w:bookmarkStart w:id="58" w:name="_Toc225355713"/>
    <w:bookmarkStart w:id="59" w:name="_Hlk225069871"/>
    <w:p>
      <w:pPr>
        <w:pStyle w:val="style1"/>
        <w:rPr>
          <w:rFonts w:cs="Arial"/>
        </w:rPr>
      </w:pPr>
      <w:r>
        <w:t>LA COMMUNICATION</w:t>
      </w:r>
      <w:bookmarkEnd w:id="58"/>
    </w:p>
    <w:bookmarkEnd w:id="59"/>
    <w:p>
      <w:pPr>
        <w:pStyle w:val="style0"/>
        <w:jc w:val="both"/>
        <w:rPr>
          <w:rFonts w:ascii="Verdana" w:cs="Arial" w:hAnsi="Verdana"/>
          <w:sz w:val="24"/>
          <w:szCs w:val="24"/>
          <w:lang w:eastAsia="en-US"/>
        </w:rPr>
      </w:pPr>
      <w:r>
        <w:rPr>
          <w:rFonts w:ascii="Verdana" w:cs="Arial" w:hAnsi="Verdana"/>
          <w:sz w:val="24"/>
          <w:szCs w:val="24"/>
          <w:lang w:eastAsia="en-US"/>
        </w:rPr>
        <w:t>En début d’année, le CHRM a recruté un communicateur</w:t>
      </w:r>
      <w:r>
        <w:rPr>
          <w:rFonts w:ascii="Verdana" w:cs="Arial" w:hAnsi="Verdana"/>
          <w:sz w:val="24"/>
          <w:szCs w:val="24"/>
          <w:lang w:eastAsia="en-US"/>
        </w:rPr>
        <w:t>. Avec l’appui des informaticiens et d’autres acteurs de l’hôpital, nous avons :</w:t>
      </w:r>
    </w:p>
    <w:p>
      <w:pPr>
        <w:pStyle w:val="style179"/>
        <w:numPr>
          <w:ilvl w:val="0"/>
          <w:numId w:val="18"/>
        </w:numPr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Communiqué</w:t>
      </w:r>
      <w:r>
        <w:rPr>
          <w:rFonts w:ascii="Verdana" w:cs="Arial" w:hAnsi="Verdana"/>
          <w:sz w:val="24"/>
          <w:szCs w:val="24"/>
        </w:rPr>
        <w:t xml:space="preserve"> sur les principales activités de l’hôpital,</w:t>
      </w:r>
    </w:p>
    <w:p>
      <w:pPr>
        <w:pStyle w:val="style179"/>
        <w:numPr>
          <w:ilvl w:val="0"/>
          <w:numId w:val="18"/>
        </w:numPr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Créé</w:t>
      </w:r>
      <w:r>
        <w:rPr>
          <w:rFonts w:ascii="Verdana" w:cs="Arial" w:hAnsi="Verdana"/>
          <w:sz w:val="24"/>
          <w:szCs w:val="24"/>
        </w:rPr>
        <w:t xml:space="preserve"> et animer un compte </w:t>
      </w:r>
      <w:r>
        <w:rPr>
          <w:rFonts w:ascii="Verdana" w:cs="Arial" w:hAnsi="Verdana"/>
          <w:sz w:val="24"/>
          <w:szCs w:val="24"/>
        </w:rPr>
        <w:t>Facebook</w:t>
      </w:r>
      <w:r>
        <w:rPr>
          <w:rFonts w:ascii="Verdana" w:cs="Arial" w:hAnsi="Verdana"/>
          <w:sz w:val="24"/>
          <w:szCs w:val="24"/>
        </w:rPr>
        <w:t>,</w:t>
      </w:r>
    </w:p>
    <w:p>
      <w:pPr>
        <w:pStyle w:val="style179"/>
        <w:numPr>
          <w:ilvl w:val="0"/>
          <w:numId w:val="18"/>
        </w:numPr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Créé</w:t>
      </w:r>
      <w:r>
        <w:rPr>
          <w:rFonts w:ascii="Verdana" w:cs="Arial" w:hAnsi="Verdana"/>
          <w:sz w:val="24"/>
          <w:szCs w:val="24"/>
        </w:rPr>
        <w:t xml:space="preserve"> et animer un compte tic toc,</w:t>
      </w:r>
    </w:p>
    <w:p>
      <w:pPr>
        <w:pStyle w:val="style179"/>
        <w:numPr>
          <w:ilvl w:val="0"/>
          <w:numId w:val="18"/>
        </w:numPr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Développé</w:t>
      </w:r>
      <w:r>
        <w:rPr>
          <w:rFonts w:ascii="Verdana" w:cs="Arial" w:hAnsi="Verdana"/>
          <w:sz w:val="24"/>
          <w:szCs w:val="24"/>
        </w:rPr>
        <w:t xml:space="preserve"> un site internet pour l’hôpital</w:t>
      </w:r>
      <w:r>
        <w:rPr>
          <w:rFonts w:ascii="Verdana" w:cs="Arial" w:hAnsi="Verdana"/>
          <w:sz w:val="24"/>
          <w:szCs w:val="24"/>
        </w:rPr>
        <w:t>,</w:t>
      </w:r>
    </w:p>
    <w:p>
      <w:pPr>
        <w:pStyle w:val="style179"/>
        <w:numPr>
          <w:ilvl w:val="0"/>
          <w:numId w:val="18"/>
        </w:numPr>
        <w:rPr>
          <w:rFonts w:ascii="Verdana" w:cs="Arial" w:hAnsi="Verdana"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Poursuivi le renforcement de la signalétique</w:t>
      </w:r>
      <w:r>
        <w:rPr>
          <w:rFonts w:ascii="Verdana" w:hAnsi="Verdana"/>
          <w:bCs/>
          <w:sz w:val="24"/>
          <w:szCs w:val="24"/>
        </w:rPr>
        <w:t>,</w:t>
      </w:r>
    </w:p>
    <w:p>
      <w:pPr>
        <w:pStyle w:val="style0"/>
        <w:jc w:val="both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 xml:space="preserve">L’hôpital a tout au long de l’année, travaillé en étroite collaboration avec les médias locaux sur la visibilité de l’établissement. </w:t>
      </w:r>
    </w:p>
    <w:p>
      <w:pPr>
        <w:pStyle w:val="style0"/>
        <w:jc w:val="both"/>
        <w:rPr>
          <w:rFonts w:ascii="Verdana" w:cs="Arial" w:hAnsi="Verdana"/>
          <w:sz w:val="24"/>
          <w:szCs w:val="24"/>
          <w:lang w:eastAsia="en-US"/>
        </w:rPr>
      </w:pPr>
      <w:r>
        <w:rPr>
          <w:rFonts w:ascii="Verdana" w:cs="Arial" w:hAnsi="Verdana"/>
          <w:sz w:val="24"/>
          <w:szCs w:val="24"/>
        </w:rPr>
        <w:t xml:space="preserve">D’autres outils sont </w:t>
      </w:r>
      <w:r>
        <w:rPr>
          <w:rFonts w:ascii="Verdana" w:cs="Arial" w:hAnsi="Verdana"/>
          <w:sz w:val="24"/>
          <w:szCs w:val="24"/>
        </w:rPr>
        <w:t>en train</w:t>
      </w:r>
      <w:r>
        <w:rPr>
          <w:rFonts w:ascii="Verdana" w:cs="Arial" w:hAnsi="Verdana"/>
          <w:sz w:val="24"/>
          <w:szCs w:val="24"/>
        </w:rPr>
        <w:t xml:space="preserve"> d’être développés pour accroitre la communication sur le CHRM et ses activités.</w:t>
      </w:r>
      <w:r>
        <w:rPr>
          <w:rFonts w:ascii="Verdana" w:cs="Arial" w:hAnsi="Verdana"/>
          <w:sz w:val="24"/>
          <w:szCs w:val="24"/>
        </w:rPr>
        <w:t xml:space="preserve"> </w:t>
      </w:r>
    </w:p>
    <w:bookmarkStart w:id="60" w:name="_Toc225355714"/>
    <w:bookmarkStart w:id="61" w:name="_Hlk225071476"/>
    <w:p>
      <w:pPr>
        <w:pStyle w:val="style1"/>
        <w:rPr>
          <w:rFonts w:cs="Arial"/>
        </w:rPr>
      </w:pPr>
      <w:r>
        <w:t>HYGIENNE HOSPITALIERE</w:t>
      </w:r>
      <w:bookmarkEnd w:id="60"/>
    </w:p>
    <w:bookmarkEnd w:id="61"/>
    <w:p>
      <w:pPr>
        <w:pStyle w:val="style0"/>
        <w:jc w:val="both"/>
        <w:rPr>
          <w:rFonts w:ascii="Verdana" w:hAnsi="Verdana"/>
          <w:sz w:val="52"/>
          <w:szCs w:val="52"/>
        </w:rPr>
      </w:pPr>
      <w:r>
        <w:rPr>
          <w:rFonts w:ascii="Verdana" w:hAnsi="Verdana"/>
          <w:sz w:val="28"/>
          <w:szCs w:val="28"/>
        </w:rPr>
        <w:t>Avant l’ouverture de l’établissement, nous avions recruté 25 agents d’entretien</w:t>
      </w:r>
      <w:r>
        <w:rPr>
          <w:rFonts w:ascii="Verdana" w:hAnsi="Verdana"/>
          <w:sz w:val="28"/>
          <w:szCs w:val="28"/>
        </w:rPr>
        <w:t xml:space="preserve"> pour assurer l’hygiène et contribuer à la </w:t>
      </w:r>
      <w:r>
        <w:rPr>
          <w:rFonts w:ascii="Verdana" w:hAnsi="Verdana"/>
          <w:sz w:val="28"/>
          <w:szCs w:val="28"/>
        </w:rPr>
        <w:t>Prévention</w:t>
      </w:r>
      <w:r>
        <w:rPr>
          <w:rFonts w:ascii="Verdana" w:hAnsi="Verdana"/>
          <w:sz w:val="24"/>
          <w:szCs w:val="24"/>
        </w:rPr>
        <w:t xml:space="preserve"> et contrôle des infections (PCI)</w:t>
      </w:r>
      <w:r>
        <w:rPr>
          <w:rFonts w:ascii="Verdana" w:hAnsi="Verdana"/>
          <w:sz w:val="24"/>
          <w:szCs w:val="24"/>
        </w:rPr>
        <w:t xml:space="preserve">. Un accent tout à fait particulier a été mis sur l’hygiène des </w:t>
      </w:r>
      <w:r>
        <w:rPr>
          <w:rFonts w:ascii="Verdana" w:hAnsi="Verdana"/>
          <w:sz w:val="24"/>
          <w:szCs w:val="24"/>
        </w:rPr>
        <w:t>mains avec la</w:t>
      </w:r>
      <w:r>
        <w:rPr>
          <w:rFonts w:ascii="Verdana" w:hAnsi="Verdana"/>
          <w:sz w:val="52"/>
          <w:szCs w:val="52"/>
        </w:rPr>
        <w:t xml:space="preserve"> </w:t>
      </w:r>
      <w:r>
        <w:rPr>
          <w:rFonts w:ascii="Verdana" w:hAnsi="Verdana"/>
          <w:bCs/>
          <w:sz w:val="24"/>
          <w:szCs w:val="24"/>
        </w:rPr>
        <w:t xml:space="preserve">disponibilité </w:t>
      </w:r>
      <w:r>
        <w:rPr>
          <w:rFonts w:ascii="Verdana" w:hAnsi="Verdana"/>
          <w:bCs/>
          <w:sz w:val="24"/>
          <w:szCs w:val="24"/>
        </w:rPr>
        <w:t xml:space="preserve">permanente de l’eau et </w:t>
      </w:r>
      <w:r>
        <w:rPr>
          <w:rFonts w:ascii="Verdana" w:hAnsi="Verdana"/>
          <w:bCs/>
          <w:sz w:val="24"/>
          <w:szCs w:val="24"/>
        </w:rPr>
        <w:t xml:space="preserve">de la solution hydro alcoolique dans les </w:t>
      </w:r>
      <w:r>
        <w:rPr>
          <w:rFonts w:ascii="Verdana" w:hAnsi="Verdana"/>
          <w:bCs/>
          <w:sz w:val="24"/>
          <w:szCs w:val="24"/>
        </w:rPr>
        <w:t>services</w:t>
      </w:r>
      <w:r>
        <w:rPr>
          <w:rFonts w:ascii="Verdana" w:hAnsi="Verdana"/>
          <w:bCs/>
          <w:sz w:val="24"/>
          <w:szCs w:val="24"/>
        </w:rPr>
        <w:t>.</w:t>
      </w:r>
    </w:p>
    <w:p>
      <w:pPr>
        <w:pStyle w:val="style0"/>
        <w:jc w:val="both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sz w:val="24"/>
          <w:szCs w:val="24"/>
        </w:rPr>
        <w:t>Sur le plan de la gestion des déchets hospitaliers</w:t>
      </w:r>
      <w:r>
        <w:rPr>
          <w:rFonts w:ascii="Verdana" w:hAnsi="Verdana"/>
          <w:sz w:val="24"/>
          <w:szCs w:val="24"/>
        </w:rPr>
        <w:t xml:space="preserve">, l’incinérateur et le broyeur ont été mis en service </w:t>
      </w:r>
      <w:r>
        <w:rPr>
          <w:rFonts w:ascii="Verdana" w:eastAsia="Calibri" w:hAnsi="Verdana"/>
          <w:bCs/>
          <w:sz w:val="24"/>
          <w:szCs w:val="24"/>
          <w:lang w:val="fr-FR" w:eastAsia="en-US"/>
        </w:rPr>
        <w:t xml:space="preserve">et le </w:t>
      </w:r>
      <w:r>
        <w:rPr>
          <w:rFonts w:ascii="Verdana" w:hAnsi="Verdana"/>
          <w:bCs/>
          <w:sz w:val="24"/>
          <w:szCs w:val="24"/>
        </w:rPr>
        <w:t>tri des déchets à la base</w:t>
      </w:r>
      <w:r>
        <w:rPr>
          <w:rFonts w:ascii="Verdana" w:hAnsi="Verdana"/>
          <w:bCs/>
          <w:sz w:val="24"/>
          <w:szCs w:val="24"/>
        </w:rPr>
        <w:t xml:space="preserve"> a été renforcé.</w:t>
      </w:r>
    </w:p>
    <w:p>
      <w:pPr>
        <w:pStyle w:val="style0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sz w:val="24"/>
          <w:szCs w:val="24"/>
        </w:rPr>
        <w:t>Sur le plan du traitement des dispositifs médicaux</w:t>
      </w:r>
      <w:r>
        <w:rPr>
          <w:rFonts w:ascii="Verdana" w:hAnsi="Verdana"/>
          <w:sz w:val="24"/>
          <w:szCs w:val="24"/>
        </w:rPr>
        <w:t>, nous avons procédé</w:t>
      </w:r>
      <w:r>
        <w:rPr>
          <w:rFonts w:ascii="Verdana" w:hAnsi="Verdana"/>
          <w:b/>
          <w:bCs/>
          <w:sz w:val="24"/>
          <w:szCs w:val="24"/>
        </w:rPr>
        <w:t xml:space="preserve"> à l’</w:t>
      </w:r>
      <w:r>
        <w:rPr>
          <w:rFonts w:ascii="Verdana" w:hAnsi="Verdana"/>
          <w:bCs/>
          <w:sz w:val="24"/>
          <w:szCs w:val="24"/>
        </w:rPr>
        <w:t>a</w:t>
      </w:r>
      <w:r>
        <w:rPr>
          <w:rFonts w:ascii="Verdana" w:hAnsi="Verdana"/>
          <w:bCs/>
          <w:sz w:val="24"/>
          <w:szCs w:val="24"/>
        </w:rPr>
        <w:t>cquisition et installation d</w:t>
      </w:r>
      <w:r>
        <w:rPr>
          <w:rFonts w:ascii="Verdana" w:hAnsi="Verdana"/>
          <w:bCs/>
          <w:sz w:val="24"/>
          <w:szCs w:val="24"/>
        </w:rPr>
        <w:t>’équipements complémentaires en buanderie et en stérilisation (</w:t>
      </w:r>
      <w:r>
        <w:rPr>
          <w:rFonts w:ascii="Verdana" w:hAnsi="Verdana"/>
          <w:bCs/>
          <w:sz w:val="24"/>
          <w:szCs w:val="24"/>
        </w:rPr>
        <w:t>autoclaves</w:t>
      </w:r>
      <w:r>
        <w:rPr>
          <w:rFonts w:ascii="Verdana" w:hAnsi="Verdana"/>
          <w:bCs/>
          <w:sz w:val="24"/>
          <w:szCs w:val="24"/>
        </w:rPr>
        <w:t>, machine à laver etc…)</w:t>
      </w:r>
    </w:p>
    <w:p>
      <w:pPr>
        <w:pStyle w:val="style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Sur le plan de l’hygiène de l’environnement</w:t>
      </w:r>
      <w:r>
        <w:rPr>
          <w:rFonts w:ascii="Verdana" w:eastAsia="Calibri" w:hAnsi="Verdana"/>
          <w:sz w:val="24"/>
          <w:szCs w:val="24"/>
          <w:lang w:val="fr-FR" w:eastAsia="en-US"/>
        </w:rPr>
        <w:t xml:space="preserve">, le </w:t>
      </w:r>
      <w:r>
        <w:rPr>
          <w:rFonts w:ascii="Verdana" w:hAnsi="Verdana"/>
          <w:sz w:val="24"/>
          <w:szCs w:val="24"/>
        </w:rPr>
        <w:t>bio nettoyage</w:t>
      </w:r>
      <w:r>
        <w:rPr>
          <w:rFonts w:ascii="Verdana" w:hAnsi="Verdana"/>
          <w:sz w:val="24"/>
          <w:szCs w:val="24"/>
        </w:rPr>
        <w:t xml:space="preserve"> a été effectif et régulier. D</w:t>
      </w:r>
      <w:r>
        <w:rPr>
          <w:rFonts w:ascii="Verdana" w:hAnsi="Verdana"/>
          <w:sz w:val="24"/>
          <w:szCs w:val="24"/>
        </w:rPr>
        <w:t>es espaces verts</w:t>
      </w:r>
      <w:r>
        <w:rPr>
          <w:rFonts w:ascii="Verdana" w:hAnsi="Verdana"/>
          <w:sz w:val="24"/>
          <w:szCs w:val="24"/>
        </w:rPr>
        <w:t xml:space="preserve"> ont été aménagés.</w:t>
      </w:r>
    </w:p>
    <w:p>
      <w:pPr>
        <w:pStyle w:val="style0"/>
        <w:rPr>
          <w:rFonts w:ascii="Verdana" w:hAnsi="Verdana"/>
          <w:bCs/>
          <w:sz w:val="24"/>
          <w:szCs w:val="24"/>
        </w:rPr>
      </w:pPr>
      <w:r>
        <w:rPr>
          <w:rFonts w:ascii="Verdana" w:cs="Arial" w:hAnsi="Verdana"/>
          <w:bCs/>
          <w:sz w:val="24"/>
          <w:szCs w:val="24"/>
        </w:rPr>
        <w:t>Pour ce qui est du r</w:t>
      </w:r>
      <w:r>
        <w:rPr>
          <w:rFonts w:ascii="Verdana" w:cs="Arial" w:hAnsi="Verdana"/>
          <w:bCs/>
          <w:sz w:val="24"/>
          <w:szCs w:val="24"/>
        </w:rPr>
        <w:t xml:space="preserve">enforcement des capacités du </w:t>
      </w:r>
      <w:r>
        <w:rPr>
          <w:rFonts w:ascii="Verdana" w:cs="Arial" w:hAnsi="Verdana"/>
          <w:bCs/>
          <w:sz w:val="24"/>
          <w:szCs w:val="24"/>
        </w:rPr>
        <w:t>personnel, ceux-ci ont été formé essentiellement sur :</w:t>
      </w:r>
    </w:p>
    <w:p>
      <w:pPr>
        <w:pStyle w:val="style179"/>
        <w:numPr>
          <w:ilvl w:val="0"/>
          <w:numId w:val="5"/>
        </w:numPr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Hygiène des mains</w:t>
      </w:r>
      <w:r>
        <w:rPr>
          <w:rFonts w:ascii="Verdana" w:cs="Arial" w:hAnsi="Verdana"/>
          <w:sz w:val="24"/>
          <w:szCs w:val="24"/>
        </w:rPr>
        <w:t>,</w:t>
      </w:r>
    </w:p>
    <w:p>
      <w:pPr>
        <w:pStyle w:val="style179"/>
        <w:numPr>
          <w:ilvl w:val="0"/>
          <w:numId w:val="5"/>
        </w:numPr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Gestion des déchets hospitaliers</w:t>
      </w:r>
      <w:r>
        <w:rPr>
          <w:rFonts w:ascii="Verdana" w:cs="Arial" w:hAnsi="Verdana"/>
          <w:sz w:val="24"/>
          <w:szCs w:val="24"/>
        </w:rPr>
        <w:t>,</w:t>
      </w:r>
    </w:p>
    <w:p>
      <w:pPr>
        <w:pStyle w:val="style179"/>
        <w:numPr>
          <w:ilvl w:val="0"/>
          <w:numId w:val="5"/>
        </w:numPr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EPI</w:t>
      </w:r>
      <w:r>
        <w:rPr>
          <w:rFonts w:ascii="Verdana" w:cs="Arial" w:hAnsi="Verdana"/>
          <w:sz w:val="24"/>
          <w:szCs w:val="24"/>
        </w:rPr>
        <w:t>,</w:t>
      </w:r>
    </w:p>
    <w:p>
      <w:pPr>
        <w:pStyle w:val="style179"/>
        <w:numPr>
          <w:ilvl w:val="0"/>
          <w:numId w:val="5"/>
        </w:numPr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Traitement des dispositifs médicaux</w:t>
      </w:r>
      <w:r>
        <w:rPr>
          <w:rFonts w:ascii="Verdana" w:cs="Arial" w:hAnsi="Verdana"/>
          <w:sz w:val="24"/>
          <w:szCs w:val="24"/>
        </w:rPr>
        <w:t xml:space="preserve">, </w:t>
      </w:r>
    </w:p>
    <w:p>
      <w:pPr>
        <w:pStyle w:val="style179"/>
        <w:numPr>
          <w:ilvl w:val="0"/>
          <w:numId w:val="5"/>
        </w:numPr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 xml:space="preserve">Fabrication de certains produits tels que le savon, la fabrication de la solution hydroalcoolique… </w:t>
      </w:r>
    </w:p>
    <w:p>
      <w:pPr>
        <w:pStyle w:val="style0"/>
        <w:jc w:val="both"/>
        <w:rPr>
          <w:rFonts w:ascii="Verdana" w:cs="Arial" w:hAnsi="Verdana"/>
          <w:sz w:val="24"/>
          <w:szCs w:val="24"/>
          <w:lang w:eastAsia="en-US"/>
        </w:rPr>
      </w:pPr>
      <w:r>
        <w:rPr>
          <w:rFonts w:ascii="Verdana" w:cs="Arial" w:hAnsi="Verdana"/>
          <w:sz w:val="24"/>
          <w:szCs w:val="24"/>
          <w:lang w:eastAsia="en-US"/>
        </w:rPr>
        <w:t>Avec toutes les mesures de PCI mises en place, nous n’avons enregistré aucune infection du site opératoire</w:t>
      </w:r>
      <w:r>
        <w:rPr>
          <w:rFonts w:ascii="Verdana" w:cs="Arial" w:hAnsi="Verdana"/>
          <w:sz w:val="24"/>
          <w:szCs w:val="24"/>
          <w:lang w:eastAsia="en-US"/>
        </w:rPr>
        <w:t xml:space="preserve"> chez les patients sortis du bloc.</w:t>
      </w:r>
    </w:p>
    <w:p>
      <w:pPr>
        <w:pStyle w:val="style0"/>
        <w:jc w:val="both"/>
        <w:rPr>
          <w:rFonts w:ascii="Verdana" w:cs="Arial" w:hAnsi="Verdana"/>
          <w:sz w:val="24"/>
          <w:szCs w:val="24"/>
          <w:lang w:eastAsia="en-US"/>
        </w:rPr>
      </w:pPr>
      <w:r>
        <w:rPr>
          <w:rFonts w:ascii="Verdana" w:cs="Arial" w:hAnsi="Verdana"/>
          <w:sz w:val="24"/>
          <w:szCs w:val="24"/>
          <w:lang w:eastAsia="en-US"/>
        </w:rPr>
        <w:t xml:space="preserve"> </w:t>
      </w:r>
    </w:p>
    <w:bookmarkStart w:id="62" w:name="_Toc225355715"/>
    <w:p>
      <w:pPr>
        <w:pStyle w:val="style1"/>
        <w:rPr/>
      </w:pPr>
      <w:r>
        <w:t>QUALITÉ ET SÉCURITÉ DES SOINS</w:t>
      </w:r>
      <w:bookmarkEnd w:id="62"/>
    </w:p>
    <w:p>
      <w:pPr>
        <w:pStyle w:val="style0"/>
        <w:spacing w:after="0"/>
        <w:jc w:val="both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Un Système de Management de la Qualité a été mis en place et l’hôpital </w:t>
      </w:r>
      <w:r>
        <w:rPr>
          <w:rFonts w:ascii="Verdana" w:hAnsi="Verdana"/>
          <w:bCs/>
          <w:sz w:val="24"/>
          <w:szCs w:val="24"/>
        </w:rPr>
        <w:t>a</w:t>
      </w:r>
      <w:r>
        <w:rPr>
          <w:rFonts w:ascii="Verdana" w:hAnsi="Verdana"/>
          <w:bCs/>
          <w:sz w:val="24"/>
          <w:szCs w:val="24"/>
        </w:rPr>
        <w:t xml:space="preserve"> </w:t>
      </w:r>
      <w:r>
        <w:rPr>
          <w:rFonts w:ascii="Verdana" w:hAnsi="Verdana"/>
          <w:bCs/>
          <w:sz w:val="24"/>
          <w:szCs w:val="24"/>
        </w:rPr>
        <w:t xml:space="preserve">été inscrit dans un processus de certification ISO </w:t>
      </w:r>
      <w:r>
        <w:rPr>
          <w:rFonts w:ascii="Verdana" w:hAnsi="Verdana"/>
          <w:bCs/>
          <w:sz w:val="24"/>
          <w:szCs w:val="24"/>
        </w:rPr>
        <w:t>9001 :</w:t>
      </w:r>
      <w:r>
        <w:rPr>
          <w:rFonts w:ascii="Verdana" w:hAnsi="Verdana"/>
          <w:bCs/>
          <w:sz w:val="24"/>
          <w:szCs w:val="24"/>
        </w:rPr>
        <w:t xml:space="preserve"> </w:t>
      </w:r>
      <w:r>
        <w:rPr>
          <w:rFonts w:ascii="Verdana" w:hAnsi="Verdana"/>
          <w:bCs/>
          <w:sz w:val="24"/>
          <w:szCs w:val="24"/>
        </w:rPr>
        <w:t>2015</w:t>
      </w:r>
      <w:r>
        <w:rPr>
          <w:rFonts w:ascii="Verdana" w:hAnsi="Verdana"/>
          <w:bCs/>
          <w:sz w:val="24"/>
          <w:szCs w:val="24"/>
        </w:rPr>
        <w:t xml:space="preserve">.  </w:t>
      </w:r>
    </w:p>
    <w:bookmarkStart w:id="63" w:name="_Toc225355716"/>
    <w:p>
      <w:pPr>
        <w:pStyle w:val="style1"/>
        <w:rPr/>
      </w:pPr>
      <w:r>
        <w:t>OFFRES DE SERVICES ET SOINS</w:t>
      </w:r>
      <w:bookmarkEnd w:id="63"/>
    </w:p>
    <w:bookmarkStart w:id="64" w:name="_Toc225355717"/>
    <w:p>
      <w:pPr>
        <w:pStyle w:val="style2"/>
        <w:rPr>
          <w:color w:val="00b050"/>
        </w:rPr>
      </w:pPr>
      <w:r>
        <w:rPr>
          <w:color w:val="00b050"/>
        </w:rPr>
        <w:t>Infrastructures</w:t>
      </w:r>
      <w:bookmarkEnd w:id="64"/>
    </w:p>
    <w:p>
      <w:pPr>
        <w:pStyle w:val="style179"/>
        <w:numPr>
          <w:ilvl w:val="0"/>
          <w:numId w:val="19"/>
        </w:numPr>
        <w:spacing w:after="160" w:lineRule="auto" w:line="259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Construction d’un bloc de toilettes externe,</w:t>
      </w:r>
    </w:p>
    <w:p>
      <w:pPr>
        <w:pStyle w:val="style179"/>
        <w:numPr>
          <w:ilvl w:val="0"/>
          <w:numId w:val="19"/>
        </w:numPr>
        <w:spacing w:after="160" w:lineRule="auto" w:line="259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Aménagement des espaces verts </w:t>
      </w:r>
    </w:p>
    <w:p>
      <w:pPr>
        <w:pStyle w:val="style179"/>
        <w:numPr>
          <w:ilvl w:val="0"/>
          <w:numId w:val="19"/>
        </w:numPr>
        <w:spacing w:after="160" w:lineRule="auto" w:line="259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Aménagement d’un potager ;</w:t>
      </w:r>
    </w:p>
    <w:bookmarkStart w:id="65" w:name="_Toc225355718"/>
    <w:p>
      <w:pPr>
        <w:pStyle w:val="style2"/>
        <w:rPr>
          <w:color w:val="00b050"/>
        </w:rPr>
      </w:pPr>
      <w:r>
        <w:rPr>
          <w:color w:val="00b050"/>
        </w:rPr>
        <w:t>Equipements</w:t>
      </w:r>
      <w:bookmarkEnd w:id="65"/>
    </w:p>
    <w:p>
      <w:pPr>
        <w:pStyle w:val="style179"/>
        <w:numPr>
          <w:ilvl w:val="0"/>
          <w:numId w:val="6"/>
        </w:numPr>
        <w:spacing w:after="160" w:lineRule="auto" w:line="259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Acquisition des équipements complémentaires de</w:t>
      </w:r>
      <w:r>
        <w:rPr>
          <w:rFonts w:ascii="Verdana" w:hAnsi="Verdana"/>
          <w:sz w:val="24"/>
          <w:szCs w:val="24"/>
        </w:rPr>
        <w:t xml:space="preserve"> cœlioscopie et </w:t>
      </w:r>
      <w:r>
        <w:rPr>
          <w:rFonts w:ascii="Verdana" w:hAnsi="Verdana"/>
          <w:sz w:val="24"/>
          <w:szCs w:val="24"/>
        </w:rPr>
        <w:t>d’hystéroscopie</w:t>
      </w:r>
    </w:p>
    <w:p>
      <w:pPr>
        <w:pStyle w:val="style179"/>
        <w:numPr>
          <w:ilvl w:val="0"/>
          <w:numId w:val="6"/>
        </w:numPr>
        <w:spacing w:after="160" w:lineRule="auto" w:line="259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Acquisition et installation des équipements </w:t>
      </w:r>
      <w:bookmarkStart w:id="66" w:name="_Hlk225071950"/>
      <w:r>
        <w:rPr>
          <w:rFonts w:ascii="Verdana" w:hAnsi="Verdana"/>
          <w:sz w:val="24"/>
          <w:szCs w:val="24"/>
        </w:rPr>
        <w:t>complémentaires</w:t>
      </w:r>
      <w:bookmarkEnd w:id="66"/>
      <w:r>
        <w:rPr>
          <w:rFonts w:ascii="Verdana" w:hAnsi="Verdana"/>
          <w:sz w:val="24"/>
          <w:szCs w:val="24"/>
        </w:rPr>
        <w:t xml:space="preserve"> d’urologie ;</w:t>
      </w:r>
      <w:r>
        <w:rPr>
          <w:rFonts w:ascii="Verdana" w:hAnsi="Verdana"/>
          <w:sz w:val="24"/>
          <w:szCs w:val="24"/>
        </w:rPr>
        <w:t xml:space="preserve"> </w:t>
      </w:r>
    </w:p>
    <w:p>
      <w:pPr>
        <w:pStyle w:val="style179"/>
        <w:numPr>
          <w:ilvl w:val="0"/>
          <w:numId w:val="6"/>
        </w:numPr>
        <w:spacing w:after="160" w:lineRule="auto" w:line="259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Acquisition d’équipements </w:t>
      </w:r>
      <w:r>
        <w:rPr>
          <w:rFonts w:ascii="Verdana" w:hAnsi="Verdana"/>
          <w:sz w:val="24"/>
          <w:szCs w:val="24"/>
        </w:rPr>
        <w:t xml:space="preserve">complémentaires </w:t>
      </w:r>
      <w:r>
        <w:rPr>
          <w:rFonts w:ascii="Verdana" w:hAnsi="Verdana"/>
          <w:sz w:val="24"/>
          <w:szCs w:val="24"/>
        </w:rPr>
        <w:t xml:space="preserve">de </w:t>
      </w:r>
      <w:r>
        <w:rPr>
          <w:rFonts w:ascii="Verdana" w:hAnsi="Verdana"/>
          <w:sz w:val="24"/>
          <w:szCs w:val="24"/>
        </w:rPr>
        <w:t>laboratoire ;</w:t>
      </w:r>
    </w:p>
    <w:p>
      <w:pPr>
        <w:pStyle w:val="style179"/>
        <w:numPr>
          <w:ilvl w:val="0"/>
          <w:numId w:val="6"/>
        </w:numPr>
        <w:spacing w:after="160" w:lineRule="auto" w:line="259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Installation des pointeurs biométriques</w:t>
      </w:r>
      <w:r>
        <w:rPr>
          <w:rFonts w:ascii="Verdana" w:hAnsi="Verdana"/>
          <w:sz w:val="24"/>
          <w:szCs w:val="24"/>
        </w:rPr>
        <w:t xml:space="preserve"> et d’un système magnétique d’ouverture des portes</w:t>
      </w:r>
      <w:r>
        <w:rPr>
          <w:rFonts w:ascii="Verdana" w:hAnsi="Verdana"/>
          <w:sz w:val="24"/>
          <w:szCs w:val="24"/>
        </w:rPr>
        <w:t> ;</w:t>
      </w:r>
    </w:p>
    <w:p>
      <w:pPr>
        <w:pStyle w:val="style179"/>
        <w:numPr>
          <w:ilvl w:val="0"/>
          <w:numId w:val="6"/>
        </w:numPr>
        <w:spacing w:after="160" w:lineRule="auto" w:line="259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Acquisition</w:t>
      </w:r>
      <w:r>
        <w:rPr>
          <w:rFonts w:ascii="Verdana" w:hAnsi="Verdana"/>
          <w:sz w:val="24"/>
          <w:szCs w:val="24"/>
          <w:lang w:val="fr-CM"/>
        </w:rPr>
        <w:t xml:space="preserve"> des plusieurs ordinateurs complets </w:t>
      </w:r>
      <w:r>
        <w:rPr>
          <w:rFonts w:ascii="Verdana" w:hAnsi="Verdana"/>
          <w:sz w:val="24"/>
          <w:szCs w:val="24"/>
          <w:lang w:val="fr-CM"/>
        </w:rPr>
        <w:t>supplémentaires ;</w:t>
      </w:r>
    </w:p>
    <w:p>
      <w:pPr>
        <w:pStyle w:val="style179"/>
        <w:numPr>
          <w:ilvl w:val="0"/>
          <w:numId w:val="6"/>
        </w:numPr>
        <w:spacing w:after="160" w:lineRule="auto" w:line="259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Acquisition de plusieurs suppresseurs pour améliorer l’approvisionnement en eau dans divers services ;</w:t>
      </w:r>
    </w:p>
    <w:p>
      <w:pPr>
        <w:pStyle w:val="style179"/>
        <w:numPr>
          <w:ilvl w:val="0"/>
          <w:numId w:val="6"/>
        </w:numPr>
        <w:spacing w:after="160" w:lineRule="auto" w:line="259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Renforcement du mobilier (</w:t>
      </w:r>
      <w:r>
        <w:rPr>
          <w:rFonts w:ascii="Verdana" w:hAnsi="Verdana"/>
          <w:sz w:val="24"/>
          <w:szCs w:val="24"/>
        </w:rPr>
        <w:t xml:space="preserve">table conférence, </w:t>
      </w:r>
      <w:r>
        <w:rPr>
          <w:rFonts w:ascii="Verdana" w:hAnsi="Verdana"/>
          <w:sz w:val="24"/>
          <w:szCs w:val="24"/>
        </w:rPr>
        <w:t xml:space="preserve">fauteuils, chaises de réception, bancs pour </w:t>
      </w:r>
      <w:r>
        <w:rPr>
          <w:rFonts w:ascii="Verdana" w:hAnsi="Verdana"/>
          <w:sz w:val="24"/>
          <w:szCs w:val="24"/>
        </w:rPr>
        <w:t>morgue</w:t>
      </w:r>
      <w:r>
        <w:rPr>
          <w:rFonts w:ascii="Verdana" w:hAnsi="Verdana"/>
          <w:sz w:val="24"/>
          <w:szCs w:val="24"/>
        </w:rPr>
        <w:t> ;</w:t>
      </w:r>
    </w:p>
    <w:p>
      <w:pPr>
        <w:pStyle w:val="style179"/>
        <w:numPr>
          <w:ilvl w:val="0"/>
          <w:numId w:val="6"/>
        </w:numPr>
        <w:spacing w:after="160" w:lineRule="auto" w:line="259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Acquisition de petits matériels ;</w:t>
      </w:r>
    </w:p>
    <w:p>
      <w:pPr>
        <w:pStyle w:val="style179"/>
        <w:numPr>
          <w:ilvl w:val="0"/>
          <w:numId w:val="6"/>
        </w:numPr>
        <w:spacing w:after="160" w:lineRule="auto" w:line="259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Etc…</w:t>
      </w:r>
    </w:p>
    <w:bookmarkStart w:id="67" w:name="_Toc225355719"/>
    <w:bookmarkStart w:id="68" w:name="_Hlk225072225"/>
    <w:p>
      <w:pPr>
        <w:pStyle w:val="style1"/>
        <w:rPr/>
      </w:pPr>
      <w:r>
        <w:t>RÉFÉRENCE CONTRE RÉFÉRENCE</w:t>
      </w:r>
      <w:bookmarkEnd w:id="67"/>
    </w:p>
    <w:bookmarkEnd w:id="68"/>
    <w:p>
      <w:pPr>
        <w:pStyle w:val="style0"/>
        <w:jc w:val="both"/>
        <w:rPr>
          <w:rFonts w:ascii="Verdana" w:hAnsi="Verdana"/>
          <w:b/>
          <w:bCs/>
          <w:sz w:val="24"/>
          <w:szCs w:val="24"/>
          <w:highlight w:val="yellow"/>
        </w:rPr>
      </w:pPr>
      <w:r>
        <w:rPr>
          <w:rFonts w:ascii="Verdana" w:hAnsi="Verdana"/>
          <w:bCs/>
          <w:sz w:val="24"/>
          <w:szCs w:val="24"/>
        </w:rPr>
        <w:t xml:space="preserve">Le système de </w:t>
      </w:r>
      <w:r>
        <w:rPr>
          <w:rFonts w:ascii="Verdana" w:hAnsi="Verdana"/>
          <w:sz w:val="24"/>
          <w:szCs w:val="24"/>
        </w:rPr>
        <w:t>Référence contre référence est en train d’être mis en place.</w:t>
      </w:r>
    </w:p>
    <w:bookmarkStart w:id="69" w:name="_Toc225355720"/>
    <w:p>
      <w:pPr>
        <w:pStyle w:val="style1"/>
        <w:rPr/>
      </w:pPr>
      <w:r>
        <w:t>PARTENARIAT ET DÉVELOPPEMENT DES RESSOURCES</w:t>
      </w:r>
      <w:bookmarkEnd w:id="69"/>
    </w:p>
    <w:p>
      <w:pPr>
        <w:pStyle w:val="style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Le CHRM a au courant de l’année, </w:t>
      </w:r>
      <w:r>
        <w:rPr>
          <w:rFonts w:ascii="Verdana" w:hAnsi="Verdana"/>
          <w:sz w:val="24"/>
          <w:szCs w:val="24"/>
        </w:rPr>
        <w:t xml:space="preserve">a </w:t>
      </w:r>
      <w:r>
        <w:rPr>
          <w:rFonts w:ascii="Verdana" w:hAnsi="Verdana"/>
          <w:sz w:val="24"/>
          <w:szCs w:val="24"/>
        </w:rPr>
        <w:t>collaboré avec plusieurs structures</w:t>
      </w:r>
      <w:r>
        <w:rPr>
          <w:rFonts w:ascii="Verdana" w:hAnsi="Verdana"/>
          <w:sz w:val="24"/>
          <w:szCs w:val="24"/>
        </w:rPr>
        <w:t xml:space="preserve"> mais à date, la coopération a été formalisée avec :</w:t>
      </w:r>
    </w:p>
    <w:p>
      <w:pPr>
        <w:pStyle w:val="style179"/>
        <w:numPr>
          <w:ilvl w:val="0"/>
          <w:numId w:val="20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L’hôpital régional de Maroua,</w:t>
      </w:r>
    </w:p>
    <w:p>
      <w:pPr>
        <w:pStyle w:val="style179"/>
        <w:numPr>
          <w:ilvl w:val="0"/>
          <w:numId w:val="20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Le Groupe Hospitalier Nord Essonne </w:t>
      </w:r>
      <w:r>
        <w:rPr>
          <w:rFonts w:ascii="Verdana" w:hAnsi="Verdana"/>
          <w:sz w:val="24"/>
          <w:szCs w:val="24"/>
        </w:rPr>
        <w:t xml:space="preserve">en France </w:t>
      </w:r>
    </w:p>
    <w:p>
      <w:pPr>
        <w:pStyle w:val="style179"/>
        <w:numPr>
          <w:ilvl w:val="0"/>
          <w:numId w:val="20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Le Centre Hospitalier Régional et Universitaire (</w:t>
      </w:r>
      <w:r>
        <w:rPr>
          <w:rFonts w:ascii="Verdana" w:hAnsi="Verdana"/>
          <w:sz w:val="24"/>
          <w:szCs w:val="24"/>
        </w:rPr>
        <w:t>CHRU)</w:t>
      </w:r>
      <w:r>
        <w:rPr>
          <w:rFonts w:ascii="Verdana" w:hAnsi="Verdana"/>
          <w:sz w:val="24"/>
          <w:szCs w:val="24"/>
        </w:rPr>
        <w:t xml:space="preserve"> de Nancy en France</w:t>
      </w:r>
      <w:r>
        <w:rPr>
          <w:rFonts w:ascii="Verdana" w:hAnsi="Verdana"/>
          <w:sz w:val="24"/>
          <w:szCs w:val="24"/>
        </w:rPr>
        <w:t>.</w:t>
      </w:r>
    </w:p>
    <w:p>
      <w:pPr>
        <w:pStyle w:val="style179"/>
        <w:rPr>
          <w:rFonts w:ascii="Verdana" w:hAnsi="Verdana"/>
          <w:sz w:val="24"/>
          <w:szCs w:val="24"/>
        </w:rPr>
      </w:pPr>
    </w:p>
    <w:p>
      <w:pPr>
        <w:pStyle w:val="style179"/>
        <w:rPr>
          <w:rFonts w:ascii="Verdana" w:hAnsi="Verdana"/>
          <w:sz w:val="24"/>
          <w:szCs w:val="24"/>
        </w:rPr>
      </w:pPr>
    </w:p>
    <w:bookmarkStart w:id="70" w:name="_Toc225355721"/>
    <w:p>
      <w:pPr>
        <w:pStyle w:val="style1"/>
        <w:rPr/>
      </w:pPr>
      <w:r>
        <w:t>PROCESSUS GESTIONNAIRE</w:t>
      </w:r>
      <w:bookmarkEnd w:id="70"/>
    </w:p>
    <w:bookmarkStart w:id="71" w:name="_Toc225355722"/>
    <w:p>
      <w:pPr>
        <w:pStyle w:val="style2"/>
        <w:rPr>
          <w:color w:val="00b050"/>
        </w:rPr>
      </w:pPr>
      <w:r>
        <w:rPr>
          <w:color w:val="00b050"/>
        </w:rPr>
        <w:t xml:space="preserve"> </w:t>
      </w:r>
      <w:r>
        <w:rPr>
          <w:color w:val="00b050"/>
        </w:rPr>
        <w:t>S</w:t>
      </w:r>
      <w:r>
        <w:rPr>
          <w:color w:val="00b050"/>
        </w:rPr>
        <w:t>ystème d’information sanitaire</w:t>
      </w:r>
      <w:bookmarkEnd w:id="71"/>
    </w:p>
    <w:p>
      <w:pPr>
        <w:pStyle w:val="style0"/>
        <w:jc w:val="both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La </w:t>
      </w:r>
      <w:r>
        <w:rPr>
          <w:rFonts w:ascii="Verdana" w:hAnsi="Verdana"/>
          <w:bCs/>
          <w:sz w:val="24"/>
          <w:szCs w:val="24"/>
        </w:rPr>
        <w:t xml:space="preserve">digitalisation de l’établissement est encore en cours. En attendant, c’est le Surveillant Général qui collecte les données statistiques, les compile et renseigne la </w:t>
      </w:r>
      <w:r>
        <w:rPr>
          <w:rFonts w:ascii="Verdana" w:hAnsi="Verdana"/>
          <w:bCs/>
          <w:sz w:val="24"/>
          <w:szCs w:val="24"/>
        </w:rPr>
        <w:t xml:space="preserve">plateforme nationale DHIS2. </w:t>
      </w:r>
    </w:p>
    <w:bookmarkStart w:id="72" w:name="_Toc225355723"/>
    <w:p>
      <w:pPr>
        <w:pStyle w:val="style2"/>
        <w:rPr>
          <w:color w:val="00b050"/>
        </w:rPr>
      </w:pPr>
      <w:r>
        <w:rPr>
          <w:color w:val="00b050"/>
        </w:rPr>
        <w:t xml:space="preserve"> </w:t>
      </w:r>
      <w:r>
        <w:rPr>
          <w:color w:val="00b050"/>
        </w:rPr>
        <w:t>Planification</w:t>
      </w:r>
      <w:bookmarkEnd w:id="72"/>
    </w:p>
    <w:p>
      <w:pPr>
        <w:pStyle w:val="style0"/>
        <w:jc w:val="both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sz w:val="24"/>
          <w:szCs w:val="24"/>
        </w:rPr>
        <w:t>L’élaboration du</w:t>
      </w:r>
      <w:r>
        <w:rPr>
          <w:rFonts w:ascii="Verdana" w:hAnsi="Verdana"/>
          <w:b/>
          <w:bCs/>
          <w:sz w:val="24"/>
          <w:szCs w:val="24"/>
        </w:rPr>
        <w:t xml:space="preserve"> </w:t>
      </w:r>
      <w:r>
        <w:rPr>
          <w:rFonts w:ascii="Verdana" w:hAnsi="Verdana"/>
          <w:bCs/>
          <w:sz w:val="24"/>
          <w:szCs w:val="24"/>
        </w:rPr>
        <w:t>P</w:t>
      </w:r>
      <w:r>
        <w:rPr>
          <w:rFonts w:ascii="Verdana" w:hAnsi="Verdana"/>
          <w:bCs/>
          <w:sz w:val="24"/>
          <w:szCs w:val="24"/>
        </w:rPr>
        <w:t>rojet d’</w:t>
      </w:r>
      <w:r>
        <w:rPr>
          <w:rFonts w:ascii="Verdana" w:hAnsi="Verdana"/>
          <w:bCs/>
          <w:sz w:val="24"/>
          <w:szCs w:val="24"/>
        </w:rPr>
        <w:t>E</w:t>
      </w:r>
      <w:r>
        <w:rPr>
          <w:rFonts w:ascii="Verdana" w:hAnsi="Verdana"/>
          <w:bCs/>
          <w:sz w:val="24"/>
          <w:szCs w:val="24"/>
        </w:rPr>
        <w:t xml:space="preserve">tablissement </w:t>
      </w:r>
      <w:r>
        <w:rPr>
          <w:rFonts w:ascii="Verdana" w:hAnsi="Verdana"/>
          <w:bCs/>
          <w:sz w:val="24"/>
          <w:szCs w:val="24"/>
        </w:rPr>
        <w:t xml:space="preserve">Hospitalier (PEH) </w:t>
      </w:r>
      <w:r>
        <w:rPr>
          <w:rFonts w:ascii="Verdana" w:hAnsi="Verdana"/>
          <w:bCs/>
          <w:sz w:val="24"/>
          <w:szCs w:val="24"/>
        </w:rPr>
        <w:t>2026-2028 est en cours de finalisation.</w:t>
      </w:r>
    </w:p>
    <w:bookmarkStart w:id="73" w:name="_Toc225355724"/>
    <w:p>
      <w:pPr>
        <w:pStyle w:val="style2"/>
        <w:rPr>
          <w:color w:val="00b050"/>
        </w:rPr>
      </w:pPr>
      <w:r>
        <w:rPr>
          <w:color w:val="00b050"/>
        </w:rPr>
        <w:t xml:space="preserve"> </w:t>
      </w:r>
      <w:r>
        <w:rPr>
          <w:color w:val="00b050"/>
        </w:rPr>
        <w:t>Coordination</w:t>
      </w:r>
      <w:bookmarkEnd w:id="73"/>
      <w:r>
        <w:rPr>
          <w:color w:val="00b050"/>
        </w:rPr>
        <w:t xml:space="preserve"> </w:t>
      </w:r>
    </w:p>
    <w:p>
      <w:pPr>
        <w:pStyle w:val="style0"/>
        <w:jc w:val="both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La coordination des activités est assurée à travers les réunions de services qui bien étant encore faibles, se tiennent mensuellement. Il faut noter ici que les réunions de l’équipe de direction se tiennent tous les </w:t>
      </w:r>
      <w:r>
        <w:rPr>
          <w:rFonts w:ascii="Verdana" w:hAnsi="Verdana"/>
          <w:bCs/>
          <w:sz w:val="24"/>
          <w:szCs w:val="24"/>
        </w:rPr>
        <w:t>vendredis</w:t>
      </w:r>
      <w:r>
        <w:rPr>
          <w:rFonts w:ascii="Verdana" w:hAnsi="Verdana"/>
          <w:bCs/>
          <w:sz w:val="24"/>
          <w:szCs w:val="24"/>
        </w:rPr>
        <w:t xml:space="preserve"> après-midi</w:t>
      </w:r>
      <w:r>
        <w:rPr>
          <w:rFonts w:ascii="Verdana" w:hAnsi="Verdana"/>
          <w:bCs/>
          <w:sz w:val="24"/>
          <w:szCs w:val="24"/>
        </w:rPr>
        <w:t>.</w:t>
      </w:r>
      <w:r>
        <w:rPr>
          <w:rFonts w:ascii="Verdana" w:hAnsi="Verdana"/>
          <w:bCs/>
          <w:sz w:val="24"/>
          <w:szCs w:val="24"/>
        </w:rPr>
        <w:t xml:space="preserve"> </w:t>
      </w:r>
    </w:p>
    <w:p>
      <w:pPr>
        <w:pStyle w:val="style0"/>
        <w:jc w:val="both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Plusieurs</w:t>
      </w:r>
      <w:r>
        <w:rPr>
          <w:rFonts w:ascii="Verdana" w:hAnsi="Verdana"/>
          <w:bCs/>
          <w:sz w:val="24"/>
          <w:szCs w:val="24"/>
        </w:rPr>
        <w:t xml:space="preserve"> autres instances </w:t>
      </w:r>
      <w:r>
        <w:rPr>
          <w:rFonts w:ascii="Verdana" w:hAnsi="Verdana"/>
          <w:bCs/>
          <w:sz w:val="24"/>
          <w:szCs w:val="24"/>
        </w:rPr>
        <w:t xml:space="preserve">à l’instar du </w:t>
      </w:r>
      <w:r>
        <w:rPr>
          <w:rFonts w:ascii="Verdana" w:hAnsi="Verdana"/>
          <w:bCs/>
          <w:sz w:val="24"/>
          <w:szCs w:val="24"/>
        </w:rPr>
        <w:t>COGE</w:t>
      </w:r>
      <w:r>
        <w:rPr>
          <w:rFonts w:ascii="Verdana" w:hAnsi="Verdana"/>
          <w:bCs/>
          <w:sz w:val="24"/>
          <w:szCs w:val="24"/>
        </w:rPr>
        <w:t xml:space="preserve"> ne sont pas encore mis en place.</w:t>
      </w:r>
    </w:p>
    <w:p>
      <w:pPr>
        <w:pStyle w:val="style2"/>
        <w:rPr>
          <w:color w:val="00b050"/>
        </w:rPr>
      </w:pPr>
      <w:r>
        <w:rPr>
          <w:color w:val="00b050"/>
        </w:rPr>
        <w:t xml:space="preserve"> </w:t>
      </w:r>
      <w:bookmarkStart w:id="74" w:name="_Toc225355725"/>
      <w:r>
        <w:rPr>
          <w:color w:val="00b050"/>
        </w:rPr>
        <w:t>Supervision</w:t>
      </w:r>
      <w:bookmarkEnd w:id="74"/>
      <w:r>
        <w:rPr>
          <w:color w:val="00b050"/>
        </w:rPr>
        <w:t xml:space="preserve"> </w:t>
      </w:r>
    </w:p>
    <w:p>
      <w:pPr>
        <w:pStyle w:val="style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La supervision technique des </w:t>
      </w:r>
      <w:r>
        <w:rPr>
          <w:rFonts w:ascii="Verdana" w:hAnsi="Verdana"/>
          <w:sz w:val="24"/>
          <w:szCs w:val="24"/>
        </w:rPr>
        <w:t>activités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est</w:t>
      </w:r>
      <w:r>
        <w:rPr>
          <w:rFonts w:ascii="Verdana" w:hAnsi="Verdana"/>
          <w:sz w:val="24"/>
          <w:szCs w:val="24"/>
        </w:rPr>
        <w:t xml:space="preserve"> assurée par le </w:t>
      </w:r>
      <w:r>
        <w:rPr>
          <w:rFonts w:ascii="Verdana" w:hAnsi="Verdana"/>
          <w:sz w:val="24"/>
          <w:szCs w:val="24"/>
        </w:rPr>
        <w:t xml:space="preserve">Président de la </w:t>
      </w:r>
      <w:r>
        <w:rPr>
          <w:rFonts w:ascii="Verdana" w:hAnsi="Verdana"/>
          <w:sz w:val="24"/>
          <w:szCs w:val="24"/>
        </w:rPr>
        <w:t>CME et</w:t>
      </w:r>
      <w:r>
        <w:rPr>
          <w:rFonts w:ascii="Verdana" w:hAnsi="Verdana"/>
          <w:sz w:val="24"/>
          <w:szCs w:val="24"/>
        </w:rPr>
        <w:t xml:space="preserve"> le surveillant général.</w:t>
      </w:r>
    </w:p>
    <w:p>
      <w:pPr>
        <w:pStyle w:val="style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Pendant les heures non ouvrables</w:t>
      </w:r>
      <w:r>
        <w:rPr>
          <w:rFonts w:ascii="Verdana" w:hAnsi="Verdana"/>
          <w:sz w:val="24"/>
          <w:szCs w:val="24"/>
        </w:rPr>
        <w:t>, c’est-à-dire la nuit, les jours fériés et les weekends, cette activité est assurée par un superviseur qui est généralement un Infirmier Diplômé d'Etat ou un infirmier supérieur ; il s’agit ici beaucoup plus d’une supervision administrative.</w:t>
      </w:r>
    </w:p>
    <w:p>
      <w:pPr>
        <w:pStyle w:val="style4139"/>
        <w:numPr>
          <w:ilvl w:val="0"/>
          <w:numId w:val="0"/>
        </w:numPr>
        <w:rPr/>
      </w:pPr>
    </w:p>
    <w:bookmarkStart w:id="75" w:name="_Toc225355726"/>
    <w:p>
      <w:pPr>
        <w:pStyle w:val="style4139"/>
        <w:numPr>
          <w:ilvl w:val="0"/>
          <w:numId w:val="0"/>
        </w:numPr>
        <w:ind w:left="431" w:hanging="431"/>
        <w:rPr>
          <w:lang w:eastAsia="en-US"/>
        </w:rPr>
      </w:pPr>
      <w:r>
        <w:rPr>
          <w:lang w:eastAsia="en-US"/>
        </w:rPr>
        <w:t>CONCLUSION</w:t>
      </w:r>
      <w:bookmarkEnd w:id="75"/>
    </w:p>
    <w:p>
      <w:pPr>
        <w:pStyle w:val="style0"/>
        <w:jc w:val="both"/>
        <w:rPr>
          <w:rFonts w:ascii="Verdana" w:cs="Arial" w:hAnsi="Verdana"/>
          <w:bCs/>
          <w:sz w:val="24"/>
          <w:szCs w:val="24"/>
          <w:lang w:eastAsia="en-US"/>
        </w:rPr>
      </w:pPr>
      <w:r>
        <w:rPr>
          <w:rFonts w:ascii="Verdana" w:cs="Arial" w:hAnsi="Verdana"/>
          <w:bCs/>
          <w:sz w:val="24"/>
          <w:szCs w:val="24"/>
          <w:lang w:eastAsia="en-US"/>
        </w:rPr>
        <w:t xml:space="preserve">Au cours de cette première année de fonctionnement du CHRM, </w:t>
      </w:r>
      <w:r>
        <w:rPr>
          <w:rFonts w:ascii="Verdana" w:cs="Arial" w:hAnsi="Verdana"/>
          <w:bCs/>
          <w:sz w:val="24"/>
          <w:szCs w:val="24"/>
          <w:lang w:eastAsia="en-US"/>
        </w:rPr>
        <w:t>nous avons beaucoup travaillé dans le sens de la mise en place d’un Système de Management de la Qualité, qui semble être pour nous le socle de la réussite.</w:t>
      </w:r>
      <w:r>
        <w:rPr>
          <w:rFonts w:ascii="Verdana" w:cs="Arial" w:hAnsi="Verdana"/>
          <w:bCs/>
          <w:sz w:val="24"/>
          <w:szCs w:val="24"/>
          <w:lang w:eastAsia="en-US"/>
        </w:rPr>
        <w:t xml:space="preserve"> </w:t>
      </w:r>
      <w:r>
        <w:rPr>
          <w:rFonts w:ascii="Verdana" w:cs="Arial" w:hAnsi="Verdana"/>
          <w:lang w:eastAsia="en-US"/>
        </w:rPr>
        <w:t>En 202</w:t>
      </w:r>
      <w:r>
        <w:rPr>
          <w:rFonts w:ascii="Verdana" w:cs="Arial" w:hAnsi="Verdana"/>
          <w:lang w:eastAsia="en-US"/>
        </w:rPr>
        <w:t>5</w:t>
      </w:r>
      <w:r>
        <w:rPr>
          <w:rFonts w:ascii="Verdana" w:cs="Arial" w:hAnsi="Verdana"/>
          <w:lang w:eastAsia="en-US"/>
        </w:rPr>
        <w:t xml:space="preserve">, on a noté une </w:t>
      </w:r>
      <w:r>
        <w:rPr>
          <w:rFonts w:ascii="Verdana" w:cs="Arial" w:hAnsi="Verdana"/>
          <w:lang w:eastAsia="en-US"/>
        </w:rPr>
        <w:t xml:space="preserve">augmentation progressive de l’activité. </w:t>
      </w:r>
      <w:r>
        <w:rPr>
          <w:rFonts w:ascii="Verdana" w:cs="Arial" w:hAnsi="Verdana"/>
        </w:rPr>
        <w:t>L’année 202</w:t>
      </w:r>
      <w:r>
        <w:rPr>
          <w:rFonts w:ascii="Verdana" w:cs="Arial" w:hAnsi="Verdana"/>
        </w:rPr>
        <w:t>6</w:t>
      </w:r>
      <w:r>
        <w:rPr>
          <w:rFonts w:ascii="Verdana" w:cs="Arial" w:hAnsi="Verdana"/>
        </w:rPr>
        <w:t xml:space="preserve"> sera marquée par le relèvement d’un certain nombre de défis, à savoir essentiellement :</w:t>
      </w:r>
    </w:p>
    <w:p>
      <w:pPr>
        <w:pStyle w:val="style179"/>
        <w:numPr>
          <w:ilvl w:val="0"/>
          <w:numId w:val="4"/>
        </w:numPr>
        <w:ind w:left="426" w:hanging="142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 xml:space="preserve">La poursuite de la démarche qualité et sécurité des soins avec </w:t>
      </w:r>
      <w:r>
        <w:rPr>
          <w:rFonts w:ascii="Verdana" w:cs="Arial" w:hAnsi="Verdana"/>
          <w:sz w:val="24"/>
          <w:szCs w:val="24"/>
        </w:rPr>
        <w:t>l’obtention du Certificat ISO 9001</w:t>
      </w:r>
      <w:r>
        <w:rPr>
          <w:rFonts w:ascii="Verdana" w:cs="Arial" w:hAnsi="Verdana"/>
          <w:sz w:val="24"/>
          <w:szCs w:val="24"/>
        </w:rPr>
        <w:t> :2015</w:t>
      </w:r>
      <w:r>
        <w:rPr>
          <w:rFonts w:ascii="Verdana" w:cs="Arial" w:hAnsi="Verdana"/>
          <w:sz w:val="24"/>
          <w:szCs w:val="24"/>
        </w:rPr>
        <w:t xml:space="preserve"> ;</w:t>
      </w:r>
    </w:p>
    <w:p>
      <w:pPr>
        <w:pStyle w:val="style179"/>
        <w:numPr>
          <w:ilvl w:val="0"/>
          <w:numId w:val="4"/>
        </w:numPr>
        <w:ind w:left="426" w:hanging="142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La mise en place progressive des pôles d’excellence</w:t>
      </w:r>
    </w:p>
    <w:p>
      <w:pPr>
        <w:pStyle w:val="style179"/>
        <w:numPr>
          <w:ilvl w:val="0"/>
          <w:numId w:val="4"/>
        </w:numPr>
        <w:ind w:left="426" w:hanging="142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L</w:t>
      </w:r>
      <w:r>
        <w:rPr>
          <w:rFonts w:ascii="Verdana" w:cs="Arial" w:hAnsi="Verdana"/>
          <w:sz w:val="24"/>
          <w:szCs w:val="24"/>
        </w:rPr>
        <w:t>e renforcement de l</w:t>
      </w:r>
      <w:r>
        <w:rPr>
          <w:rFonts w:ascii="Verdana" w:cs="Arial" w:hAnsi="Verdana"/>
          <w:sz w:val="24"/>
          <w:szCs w:val="24"/>
        </w:rPr>
        <w:t>a maintenance des équipements ;</w:t>
      </w:r>
    </w:p>
    <w:p>
      <w:pPr>
        <w:pStyle w:val="style179"/>
        <w:numPr>
          <w:ilvl w:val="0"/>
          <w:numId w:val="4"/>
        </w:numPr>
        <w:ind w:left="426" w:hanging="142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L</w:t>
      </w:r>
      <w:r>
        <w:rPr>
          <w:rFonts w:ascii="Verdana" w:cs="Arial" w:hAnsi="Verdana"/>
          <w:sz w:val="24"/>
          <w:szCs w:val="24"/>
        </w:rPr>
        <w:t>a poursuite de la maîtrise de l</w:t>
      </w:r>
      <w:r>
        <w:rPr>
          <w:rFonts w:ascii="Verdana" w:cs="Arial" w:hAnsi="Verdana"/>
          <w:sz w:val="24"/>
          <w:szCs w:val="24"/>
        </w:rPr>
        <w:t>’hygiène hospitalière ;</w:t>
      </w:r>
    </w:p>
    <w:p>
      <w:pPr>
        <w:pStyle w:val="style179"/>
        <w:numPr>
          <w:ilvl w:val="0"/>
          <w:numId w:val="4"/>
        </w:numPr>
        <w:ind w:left="426" w:hanging="142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La formation continue ;</w:t>
      </w:r>
    </w:p>
    <w:p>
      <w:pPr>
        <w:pStyle w:val="style179"/>
        <w:numPr>
          <w:ilvl w:val="0"/>
          <w:numId w:val="4"/>
        </w:numPr>
        <w:ind w:left="426" w:hanging="142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Le renforcement du système d’informations sanitaires.</w:t>
      </w:r>
    </w:p>
    <w:p>
      <w:pPr>
        <w:pStyle w:val="style179"/>
        <w:numPr>
          <w:ilvl w:val="0"/>
          <w:numId w:val="4"/>
        </w:numPr>
        <w:spacing w:before="240"/>
        <w:ind w:left="426" w:hanging="142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La sécurité des biens et des personnes ;</w:t>
      </w:r>
    </w:p>
    <w:p>
      <w:pPr>
        <w:pStyle w:val="style179"/>
        <w:numPr>
          <w:ilvl w:val="0"/>
          <w:numId w:val="4"/>
        </w:numPr>
        <w:ind w:left="426" w:hanging="142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Le renforcement du partenariat ;</w:t>
      </w:r>
    </w:p>
    <w:p>
      <w:pPr>
        <w:pStyle w:val="style179"/>
        <w:numPr>
          <w:ilvl w:val="0"/>
          <w:numId w:val="4"/>
        </w:numPr>
        <w:spacing w:before="240"/>
        <w:ind w:left="426" w:hanging="142"/>
        <w:rPr>
          <w:rFonts w:ascii="Verdana" w:cs="Arial" w:hAnsi="Verdana"/>
          <w:sz w:val="24"/>
          <w:szCs w:val="24"/>
        </w:rPr>
      </w:pPr>
      <w:r>
        <w:rPr>
          <w:rFonts w:ascii="Verdana" w:cs="Arial" w:hAnsi="Verdana"/>
          <w:sz w:val="24"/>
          <w:szCs w:val="24"/>
        </w:rPr>
        <w:t>L</w:t>
      </w:r>
      <w:r>
        <w:rPr>
          <w:rFonts w:ascii="Verdana" w:cs="Arial" w:hAnsi="Verdana"/>
          <w:sz w:val="24"/>
          <w:szCs w:val="24"/>
        </w:rPr>
        <w:t>a validation du tout 1</w:t>
      </w:r>
      <w:r>
        <w:rPr>
          <w:rFonts w:ascii="Verdana" w:cs="Arial" w:hAnsi="Verdana"/>
          <w:sz w:val="24"/>
          <w:szCs w:val="24"/>
          <w:vertAlign w:val="superscript"/>
        </w:rPr>
        <w:t>er</w:t>
      </w:r>
      <w:r>
        <w:rPr>
          <w:rFonts w:ascii="Verdana" w:cs="Arial" w:hAnsi="Verdana"/>
          <w:sz w:val="24"/>
          <w:szCs w:val="24"/>
        </w:rPr>
        <w:t xml:space="preserve"> P</w:t>
      </w:r>
      <w:r>
        <w:rPr>
          <w:rFonts w:ascii="Verdana" w:cs="Arial" w:hAnsi="Verdana"/>
          <w:sz w:val="24"/>
          <w:szCs w:val="24"/>
        </w:rPr>
        <w:t>rojet d’</w:t>
      </w:r>
      <w:r>
        <w:rPr>
          <w:rFonts w:ascii="Verdana" w:cs="Arial" w:hAnsi="Verdana"/>
          <w:sz w:val="24"/>
          <w:szCs w:val="24"/>
        </w:rPr>
        <w:t>E</w:t>
      </w:r>
      <w:r>
        <w:rPr>
          <w:rFonts w:ascii="Verdana" w:cs="Arial" w:hAnsi="Verdana"/>
          <w:sz w:val="24"/>
          <w:szCs w:val="24"/>
        </w:rPr>
        <w:t xml:space="preserve">tablissement </w:t>
      </w:r>
      <w:r>
        <w:rPr>
          <w:rFonts w:ascii="Verdana" w:cs="Arial" w:hAnsi="Verdana"/>
          <w:sz w:val="24"/>
          <w:szCs w:val="24"/>
        </w:rPr>
        <w:t>de CHRM</w:t>
      </w:r>
      <w:r>
        <w:rPr>
          <w:rFonts w:ascii="Verdana" w:cs="Arial" w:hAnsi="Verdana"/>
          <w:sz w:val="24"/>
          <w:szCs w:val="24"/>
        </w:rPr>
        <w:t>.</w:t>
      </w:r>
    </w:p>
    <w:p>
      <w:pPr>
        <w:pStyle w:val="style179"/>
        <w:numPr>
          <w:ilvl w:val="0"/>
          <w:numId w:val="4"/>
        </w:numPr>
        <w:spacing w:before="240"/>
        <w:ind w:left="426" w:hanging="142"/>
        <w:rPr>
          <w:rFonts w:ascii="Verdana" w:cs="Arial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Etc…</w:t>
      </w:r>
    </w:p>
    <w:p>
      <w:pPr>
        <w:pStyle w:val="style0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>Dans tous les cas, en 202</w:t>
      </w:r>
      <w:r>
        <w:rPr>
          <w:rFonts w:ascii="Verdana" w:hAnsi="Verdana"/>
          <w:bCs/>
        </w:rPr>
        <w:t>6</w:t>
      </w:r>
      <w:r>
        <w:rPr>
          <w:rFonts w:ascii="Verdana" w:hAnsi="Verdana"/>
          <w:bCs/>
        </w:rPr>
        <w:t xml:space="preserve">, </w:t>
      </w:r>
      <w:r>
        <w:rPr>
          <w:rFonts w:ascii="Verdana" w:hAnsi="Verdana"/>
          <w:bCs/>
        </w:rPr>
        <w:t>le CHR de</w:t>
      </w:r>
      <w:r>
        <w:rPr>
          <w:rFonts w:ascii="Verdana" w:hAnsi="Verdana"/>
          <w:bCs/>
        </w:rPr>
        <w:t xml:space="preserve"> Maroua devra</w:t>
      </w:r>
      <w:r>
        <w:rPr>
          <w:rFonts w:ascii="Verdana" w:hAnsi="Verdana"/>
          <w:bCs/>
        </w:rPr>
        <w:t xml:space="preserve"> véritablement décoller</w:t>
      </w:r>
      <w:r>
        <w:rPr>
          <w:rFonts w:ascii="Verdana" w:hAnsi="Verdana"/>
          <w:bCs/>
        </w:rPr>
        <w:t>.</w:t>
      </w:r>
      <w:r>
        <w:rPr>
          <w:rFonts w:ascii="Verdana" w:hAnsi="Verdana"/>
          <w:bCs/>
        </w:rPr>
        <w:t xml:space="preserve"> </w:t>
      </w:r>
    </w:p>
    <w:bookmarkStart w:id="76" w:name="_GoBack"/>
    <w:bookmarkEnd w:id="76"/>
    <w:p>
      <w:pPr>
        <w:pStyle w:val="style0"/>
        <w:rPr/>
      </w:pPr>
    </w:p>
    <w:sectPr>
      <w:pgSz w:w="11906" w:h="16838" w:orient="portrait"/>
      <w:pgMar w:top="1276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005040204"/>
    <w:charset w:val="00"/>
    <w:family w:val="swiss"/>
    <w:pitch w:val="variable"/>
    <w:sig w:usb0="A00006FF" w:usb1="4000205B" w:usb2="00000010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GothamXNarrow-Book">
    <w:altName w:val="Calibri"/>
    <w:panose1 w:val="00000000000000000000"/>
    <w:charset w:val="00"/>
    <w:family w:val="swiss"/>
    <w:pitch w:val="default"/>
    <w:sig w:usb0="00000003" w:usb1="00000000" w:usb2="00000000" w:usb3="00000000" w:csb0="00000001" w:csb1="00000000"/>
  </w:font>
  <w:font w:name="Calibri">
    <w:altName w:val="Calibri"/>
    <w:panose1 w:val="020f0502020002030204"/>
    <w:charset w:val="00"/>
    <w:family w:val="swiss"/>
    <w:pitch w:val="variable"/>
    <w:sig w:usb0="E1002AFF" w:usb1="4000ACFF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Arial Unicode MS">
    <w:altName w:val="Yu Gothic"/>
    <w:panose1 w:val="020b0604020002020204"/>
    <w:charset w:val="80"/>
    <w:family w:val="swiss"/>
    <w:pitch w:val="variable"/>
    <w:sig w:usb0="F7FFAFFF" w:usb1="E9DFFFFF" w:usb2="0000003F" w:usb3="00000000" w:csb0="003F01FF" w:csb1="00000000"/>
  </w:font>
  <w:font w:name="Lucida Bright">
    <w:altName w:val="Lucida Bright"/>
    <w:panose1 w:val="02040602050005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003020204"/>
    <w:charset w:val="00"/>
    <w:family w:val="script"/>
    <w:pitch w:val="variable"/>
    <w:sig w:usb0="00000687" w:usb1="00000013" w:usb2="00000000" w:usb3="00000000" w:csb0="0000009F" w:csb1="00000000"/>
  </w:font>
  <w:font w:name="Gill Sans MT">
    <w:altName w:val="Gill Sans MT"/>
    <w:panose1 w:val="020b0502020001020203"/>
    <w:charset w:val="00"/>
    <w:family w:val="swiss"/>
    <w:pitch w:val="variable"/>
    <w:sig w:usb0="00000007" w:usb1="00000000" w:usb2="00000000" w:usb3="00000000" w:csb0="00000003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  <w:font w:name="Palatino Linotype">
    <w:altName w:val="Palatino Linotype"/>
    <w:panose1 w:val="02040502050005030304"/>
    <w:charset w:val="00"/>
    <w:family w:val="roman"/>
    <w:pitch w:val="variable"/>
    <w:sig w:usb0="E0000287" w:usb1="40000013" w:usb2="00000000" w:usb3="00000000" w:csb0="0000019F" w:csb1="00000000"/>
  </w:font>
  <w:font w:name="Arial Rounded MT Bold">
    <w:altName w:val="Arial Rounded MT Bold"/>
    <w:panose1 w:val="020f0704030005030204"/>
    <w:charset w:val="00"/>
    <w:family w:val="swiss"/>
    <w:pitch w:val="variable"/>
    <w:sig w:usb0="00000003" w:usb1="00000000" w:usb2="00000000" w:usb3="00000000" w:csb0="00000001" w:csb1="00000000"/>
  </w:font>
  <w:font w:name="Aptos">
    <w:altName w:val="Calibri"/>
    <w:panose1 w:val="00000000000000000000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right"/>
      <w:rPr/>
    </w:pPr>
    <w:r>
      <w:rPr/>
      <w:fldChar w:fldCharType="begin"/>
    </w:r>
    <w:r>
      <w:instrText>PAGE   \* MERGEFORMAT</w:instrText>
    </w:r>
    <w:r>
      <w:rPr/>
      <w:fldChar w:fldCharType="separate"/>
    </w:r>
    <w:r>
      <w:rPr>
        <w:noProof/>
      </w:rPr>
      <w:t>7</w:t>
    </w:r>
    <w:r>
      <w:rPr/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104ED32"/>
    <w:lvl w:ilvl="0" w:tplc="53CAE5C4">
      <w:start w:val="1"/>
      <w:numFmt w:val="bullet"/>
      <w:lvlText w:val="-"/>
      <w:lvlJc w:val="left"/>
      <w:pPr>
        <w:ind w:left="720" w:hanging="360"/>
      </w:pPr>
      <w:rPr>
        <w:rFonts w:ascii="Verdana" w:cs="Arial" w:eastAsia="宋体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23F6149E"/>
    <w:lvl w:ilvl="0" w:tplc="A1387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2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2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2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9E83694"/>
    <w:lvl w:ilvl="0" w:tplc="A1387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2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2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2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DDDA904A"/>
    <w:lvl w:ilvl="0" w:tplc="A1387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2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2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2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E90E864A"/>
    <w:lvl w:ilvl="0" w:tplc="A1387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5692704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6F243E16"/>
    <w:lvl w:ilvl="0" w:tplc="A1387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76DE85A2"/>
    <w:lvl w:ilvl="0" w:tplc="A1387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multilevel"/>
    <w:tmpl w:val="62EA34FC"/>
    <w:lvl w:ilvl="0">
      <w:start w:val="1"/>
      <w:numFmt w:val="decimal"/>
      <w:pStyle w:val="style1"/>
      <w:lvlText w:val="%1"/>
      <w:lvlJc w:val="left"/>
      <w:pPr>
        <w:tabs>
          <w:tab w:val="left" w:leader="none" w:pos="432"/>
        </w:tabs>
        <w:ind w:left="432" w:hanging="432"/>
      </w:pPr>
      <w:rPr>
        <w:rFonts w:hint="default"/>
        <w:lang w:val="fr-FR"/>
      </w:rPr>
    </w:lvl>
    <w:lvl w:ilvl="1">
      <w:start w:val="1"/>
      <w:numFmt w:val="decimal"/>
      <w:pStyle w:val="style2"/>
      <w:lvlText w:val="%1.%2"/>
      <w:lvlJc w:val="left"/>
      <w:pPr>
        <w:tabs>
          <w:tab w:val="left" w:leader="none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style3"/>
      <w:lvlText w:val="%1.%2.%3"/>
      <w:lvlJc w:val="left"/>
      <w:pPr>
        <w:tabs>
          <w:tab w:val="left" w:leader="none" w:pos="2989"/>
        </w:tabs>
        <w:ind w:left="2989" w:hanging="720"/>
      </w:pPr>
      <w:rPr>
        <w:rFonts w:hint="default"/>
      </w:rPr>
    </w:lvl>
    <w:lvl w:ilvl="3">
      <w:start w:val="1"/>
      <w:numFmt w:val="decimal"/>
      <w:pStyle w:val="style4"/>
      <w:lvlText w:val="%1.%2.%3.%4"/>
      <w:lvlJc w:val="left"/>
      <w:pPr>
        <w:tabs>
          <w:tab w:val="left" w:leader="none" w:pos="1715"/>
        </w:tabs>
        <w:ind w:left="1715" w:hanging="864"/>
      </w:pPr>
      <w:rPr>
        <w:rFonts w:hint="default"/>
        <w:sz w:val="28"/>
        <w:szCs w:val="28"/>
      </w:rPr>
    </w:lvl>
    <w:lvl w:ilvl="4">
      <w:start w:val="1"/>
      <w:numFmt w:val="decimal"/>
      <w:pStyle w:val="style5"/>
      <w:lvlText w:val="%1.%2.%3.%4.%5"/>
      <w:lvlJc w:val="left"/>
      <w:pPr>
        <w:tabs>
          <w:tab w:val="left" w:leader="none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style6"/>
      <w:lvlText w:val="%1.%2.%3.%4.%5.%6"/>
      <w:lvlJc w:val="left"/>
      <w:pPr>
        <w:tabs>
          <w:tab w:val="left" w:leader="none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style7"/>
      <w:lvlText w:val="%1.%2.%3.%4.%5.%6.%7"/>
      <w:lvlJc w:val="left"/>
      <w:pPr>
        <w:tabs>
          <w:tab w:val="left" w:leader="none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style8"/>
      <w:lvlText w:val="%1.%2.%3.%4.%5.%6.%7.%8"/>
      <w:lvlJc w:val="left"/>
      <w:pPr>
        <w:tabs>
          <w:tab w:val="left" w:leader="none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style9"/>
      <w:lvlText w:val="%1.%2.%3.%4.%5.%6.%7.%8.%9"/>
      <w:lvlJc w:val="left"/>
      <w:pPr>
        <w:tabs>
          <w:tab w:val="left" w:leader="none" w:pos="1584"/>
        </w:tabs>
        <w:ind w:left="1584" w:hanging="1584"/>
      </w:pPr>
      <w:rPr>
        <w:rFonts w:hint="default"/>
      </w:rPr>
    </w:lvl>
  </w:abstractNum>
  <w:abstractNum w:abstractNumId="9">
    <w:nsid w:val="00000009"/>
    <w:multiLevelType w:val="hybridMultilevel"/>
    <w:tmpl w:val="78FA7D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00201BE6"/>
    <w:lvl w:ilvl="0" w:tplc="A1387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1EF4BF4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AF8C4348"/>
    <w:lvl w:ilvl="0" w:tplc="A1387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2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2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2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D57A5AD0"/>
    <w:lvl w:ilvl="0" w:tplc="A1387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C73836D8"/>
    <w:lvl w:ilvl="0" w:tplc="C7A0C850">
      <w:start w:val="1"/>
      <w:numFmt w:val="bullet"/>
      <w:lvlText w:val="-"/>
      <w:lvlJc w:val="left"/>
      <w:pPr>
        <w:ind w:left="1069" w:hanging="360"/>
      </w:pPr>
      <w:rPr>
        <w:rFonts w:ascii="GothamXNarrow-Book" w:cs="GothamXNarrow-Book" w:eastAsia="Calibri" w:hAnsi="GothamXNarrow-Book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83C235F0"/>
    <w:lvl w:ilvl="0" w:tplc="A1387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882C78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B1DE26EC"/>
    <w:lvl w:ilvl="0" w:tplc="A1387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FE1E65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2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2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2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737E4644"/>
    <w:lvl w:ilvl="0" w:tplc="A1387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4"/>
  </w:num>
  <w:num w:numId="5">
    <w:abstractNumId w:val="17"/>
  </w:num>
  <w:num w:numId="6">
    <w:abstractNumId w:val="11"/>
  </w:num>
  <w:num w:numId="7">
    <w:abstractNumId w:val="15"/>
  </w:num>
  <w:num w:numId="8">
    <w:abstractNumId w:val="16"/>
  </w:num>
  <w:num w:numId="9">
    <w:abstractNumId w:val="6"/>
  </w:num>
  <w:num w:numId="10">
    <w:abstractNumId w:val="4"/>
  </w:num>
  <w:num w:numId="11">
    <w:abstractNumId w:val="7"/>
  </w:num>
  <w:num w:numId="12">
    <w:abstractNumId w:val="19"/>
  </w:num>
  <w:num w:numId="13">
    <w:abstractNumId w:val="13"/>
  </w:num>
  <w:num w:numId="14">
    <w:abstractNumId w:val="0"/>
  </w:num>
  <w:num w:numId="15">
    <w:abstractNumId w:val="10"/>
  </w:num>
  <w:num w:numId="16">
    <w:abstractNumId w:val="12"/>
  </w:num>
  <w:num w:numId="17">
    <w:abstractNumId w:val="18"/>
  </w:num>
  <w:num w:numId="18">
    <w:abstractNumId w:val="1"/>
  </w:num>
  <w:num w:numId="19">
    <w:abstractNumId w:val="3"/>
  </w:num>
  <w:num w:numId="20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fr-F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rFonts w:eastAsia="宋体"/>
      <w:lang w:val="fr-CM" w:eastAsia="fr-FR"/>
    </w:rPr>
  </w:style>
  <w:style w:type="paragraph" w:styleId="style1">
    <w:name w:val="heading 1"/>
    <w:basedOn w:val="style0"/>
    <w:next w:val="style0"/>
    <w:link w:val="style4097"/>
    <w:qFormat/>
    <w:pPr>
      <w:numPr>
        <w:ilvl w:val="0"/>
        <w:numId w:val="1"/>
      </w:numPr>
      <w:spacing w:before="120" w:after="120" w:lineRule="auto" w:line="240"/>
      <w:outlineLvl w:val="0"/>
      <w:contextualSpacing/>
    </w:pPr>
    <w:rPr>
      <w:rFonts w:ascii="Times New Roman" w:cs="Times New Roman" w:eastAsia="Times New Roman" w:hAnsi="Times New Roman"/>
      <w:b/>
      <w:bCs/>
      <w:color w:val="00b050"/>
      <w:sz w:val="36"/>
      <w:szCs w:val="24"/>
      <w:u w:val="single"/>
      <w:lang w:val="en-US"/>
    </w:rPr>
  </w:style>
  <w:style w:type="paragraph" w:styleId="style2">
    <w:name w:val="heading 2"/>
    <w:basedOn w:val="style81"/>
    <w:next w:val="style0"/>
    <w:link w:val="style4099"/>
    <w:qFormat/>
    <w:pPr>
      <w:numPr>
        <w:ilvl w:val="1"/>
        <w:numId w:val="1"/>
      </w:numPr>
      <w:spacing w:after="100"/>
      <w:outlineLvl w:val="1"/>
      <w:contextualSpacing/>
    </w:pPr>
    <w:rPr>
      <w:b/>
      <w:bCs/>
      <w:iCs/>
      <w:color w:val="4472c4"/>
      <w:sz w:val="32"/>
      <w:szCs w:val="24"/>
      <w:u w:val="single"/>
      <w:lang w:val="fr-CM"/>
    </w:rPr>
  </w:style>
  <w:style w:type="paragraph" w:styleId="style3">
    <w:name w:val="heading 3"/>
    <w:basedOn w:val="style1"/>
    <w:next w:val="style0"/>
    <w:link w:val="style4100"/>
    <w:qFormat/>
    <w:pPr>
      <w:numPr>
        <w:ilvl w:val="2"/>
        <w:numId w:val="0"/>
      </w:numPr>
      <w:tabs>
        <w:tab w:val="clear" w:pos="2989"/>
      </w:tabs>
      <w:ind w:left="720"/>
      <w:outlineLvl w:val="2"/>
    </w:pPr>
    <w:rPr>
      <w:sz w:val="28"/>
    </w:rPr>
  </w:style>
  <w:style w:type="paragraph" w:styleId="style4">
    <w:name w:val="heading 4"/>
    <w:basedOn w:val="style74"/>
    <w:next w:val="style0"/>
    <w:link w:val="style4102"/>
    <w:qFormat/>
    <w:pPr>
      <w:numPr>
        <w:ilvl w:val="3"/>
        <w:numId w:val="1"/>
      </w:numPr>
      <w:jc w:val="left"/>
      <w:outlineLvl w:val="3"/>
    </w:pPr>
    <w:rPr>
      <w:rFonts w:ascii="Arial" w:cs="Arial" w:hAnsi="Arial"/>
      <w:b/>
      <w:i/>
      <w:iCs/>
    </w:rPr>
  </w:style>
  <w:style w:type="paragraph" w:styleId="style5">
    <w:name w:val="heading 5"/>
    <w:basedOn w:val="style32"/>
    <w:next w:val="style0"/>
    <w:link w:val="style4104"/>
    <w:qFormat/>
    <w:pPr>
      <w:numPr>
        <w:ilvl w:val="4"/>
        <w:numId w:val="1"/>
      </w:numPr>
      <w:tabs>
        <w:tab w:val="clear" w:pos="4536"/>
        <w:tab w:val="clear" w:pos="9072"/>
      </w:tabs>
      <w:spacing w:before="100" w:after="100"/>
      <w:outlineLvl w:val="4"/>
      <w:contextualSpacing/>
    </w:pPr>
    <w:rPr>
      <w:b/>
      <w:iCs/>
      <w:lang w:val="en-US"/>
    </w:rPr>
  </w:style>
  <w:style w:type="paragraph" w:styleId="style6">
    <w:name w:val="heading 6"/>
    <w:basedOn w:val="style32"/>
    <w:next w:val="style0"/>
    <w:link w:val="style4105"/>
    <w:qFormat/>
    <w:pPr>
      <w:numPr>
        <w:ilvl w:val="5"/>
        <w:numId w:val="1"/>
      </w:numPr>
      <w:tabs>
        <w:tab w:val="clear" w:pos="4536"/>
        <w:tab w:val="clear" w:pos="9072"/>
      </w:tabs>
      <w:spacing w:before="100" w:after="100"/>
      <w:outlineLvl w:val="5"/>
      <w:contextualSpacing/>
    </w:pPr>
    <w:rPr>
      <w:b/>
      <w:iCs/>
      <w:lang w:val="en-US"/>
    </w:rPr>
  </w:style>
  <w:style w:type="paragraph" w:styleId="style7">
    <w:name w:val="heading 7"/>
    <w:basedOn w:val="style0"/>
    <w:next w:val="style0"/>
    <w:link w:val="style4106"/>
    <w:qFormat/>
    <w:pPr>
      <w:numPr>
        <w:ilvl w:val="6"/>
        <w:numId w:val="1"/>
      </w:numPr>
      <w:spacing w:before="240" w:after="60" w:lineRule="auto" w:line="240"/>
      <w:jc w:val="both"/>
      <w:outlineLvl w:val="6"/>
    </w:pPr>
    <w:rPr>
      <w:rFonts w:ascii="Calibri" w:cs="Times New Roman" w:eastAsia="Times New Roman" w:hAnsi="Calibri"/>
      <w:sz w:val="24"/>
      <w:szCs w:val="24"/>
      <w:lang w:val="fr-FR"/>
    </w:rPr>
  </w:style>
  <w:style w:type="paragraph" w:styleId="style8">
    <w:name w:val="heading 8"/>
    <w:basedOn w:val="style0"/>
    <w:next w:val="style0"/>
    <w:link w:val="style4107"/>
    <w:qFormat/>
    <w:pPr>
      <w:numPr>
        <w:ilvl w:val="7"/>
        <w:numId w:val="1"/>
      </w:numPr>
      <w:spacing w:before="240" w:after="60" w:lineRule="auto" w:line="240"/>
      <w:jc w:val="both"/>
      <w:outlineLvl w:val="7"/>
    </w:pPr>
    <w:rPr>
      <w:rFonts w:ascii="Calibri" w:cs="Times New Roman" w:eastAsia="Times New Roman" w:hAnsi="Calibri"/>
      <w:i/>
      <w:iCs/>
      <w:sz w:val="24"/>
      <w:szCs w:val="24"/>
      <w:lang w:val="fr-FR"/>
    </w:rPr>
  </w:style>
  <w:style w:type="paragraph" w:styleId="style9">
    <w:name w:val="heading 9"/>
    <w:basedOn w:val="style0"/>
    <w:next w:val="style0"/>
    <w:link w:val="style4108"/>
    <w:qFormat/>
    <w:pPr>
      <w:numPr>
        <w:ilvl w:val="8"/>
        <w:numId w:val="1"/>
      </w:numPr>
      <w:spacing w:before="240" w:after="60" w:lineRule="auto" w:line="240"/>
      <w:jc w:val="both"/>
      <w:outlineLvl w:val="8"/>
    </w:pPr>
    <w:rPr>
      <w:rFonts w:ascii="Cambria" w:cs="Times New Roman" w:eastAsia="Times New Roman" w:hAnsi="Cambria"/>
      <w:sz w:val="20"/>
      <w:szCs w:val="20"/>
      <w:lang w:val="fr-FR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Titre 1 Car"/>
    <w:basedOn w:val="style65"/>
    <w:next w:val="style4097"/>
    <w:link w:val="style1"/>
    <w:rPr>
      <w:rFonts w:ascii="Times New Roman" w:cs="Times New Roman" w:eastAsia="Times New Roman" w:hAnsi="Times New Roman"/>
      <w:b/>
      <w:bCs/>
      <w:color w:val="00b050"/>
      <w:sz w:val="36"/>
      <w:szCs w:val="24"/>
      <w:u w:val="single"/>
      <w:lang w:val="en-US" w:eastAsia="fr-FR"/>
    </w:rPr>
  </w:style>
  <w:style w:type="paragraph" w:styleId="style81">
    <w:name w:val="Body Text 3"/>
    <w:basedOn w:val="style0"/>
    <w:next w:val="style81"/>
    <w:link w:val="style4098"/>
    <w:pPr>
      <w:spacing w:after="120" w:lineRule="auto" w:line="240"/>
      <w:jc w:val="both"/>
    </w:pPr>
    <w:rPr>
      <w:rFonts w:ascii="Times New Roman" w:cs="Times New Roman" w:eastAsia="Times New Roman" w:hAnsi="Times New Roman"/>
      <w:sz w:val="16"/>
      <w:szCs w:val="16"/>
      <w:lang w:val="fr-FR"/>
    </w:rPr>
  </w:style>
  <w:style w:type="character" w:customStyle="1" w:styleId="style4098">
    <w:name w:val="Corps de texte 3 Car"/>
    <w:basedOn w:val="style65"/>
    <w:next w:val="style4098"/>
    <w:link w:val="style81"/>
    <w:rPr>
      <w:rFonts w:ascii="Times New Roman" w:cs="Times New Roman" w:eastAsia="Times New Roman" w:hAnsi="Times New Roman"/>
      <w:sz w:val="16"/>
      <w:szCs w:val="16"/>
      <w:lang w:eastAsia="fr-FR"/>
    </w:rPr>
  </w:style>
  <w:style w:type="character" w:customStyle="1" w:styleId="style4099">
    <w:name w:val="Titre 2 Car"/>
    <w:basedOn w:val="style65"/>
    <w:next w:val="style4099"/>
    <w:link w:val="style2"/>
    <w:rPr>
      <w:rFonts w:ascii="Times New Roman" w:cs="Times New Roman" w:eastAsia="Times New Roman" w:hAnsi="Times New Roman"/>
      <w:b/>
      <w:bCs/>
      <w:iCs/>
      <w:color w:val="4472c4"/>
      <w:sz w:val="32"/>
      <w:szCs w:val="24"/>
      <w:u w:val="single"/>
      <w:lang w:val="fr-CM" w:eastAsia="fr-FR"/>
    </w:rPr>
  </w:style>
  <w:style w:type="character" w:customStyle="1" w:styleId="style4100">
    <w:name w:val="Titre 3 Car"/>
    <w:basedOn w:val="style65"/>
    <w:next w:val="style4100"/>
    <w:link w:val="style3"/>
    <w:rPr>
      <w:rFonts w:ascii="Times New Roman" w:cs="Times New Roman" w:eastAsia="Times New Roman" w:hAnsi="Times New Roman"/>
      <w:b/>
      <w:bCs/>
      <w:color w:val="00b050"/>
      <w:sz w:val="28"/>
      <w:szCs w:val="24"/>
      <w:u w:val="single"/>
      <w:lang w:val="en-US" w:eastAsia="fr-FR"/>
    </w:rPr>
  </w:style>
  <w:style w:type="paragraph" w:styleId="style74">
    <w:name w:val="Subtitle"/>
    <w:basedOn w:val="style0"/>
    <w:next w:val="style0"/>
    <w:link w:val="style4101"/>
    <w:qFormat/>
    <w:uiPriority w:val="11"/>
    <w:pPr>
      <w:spacing w:after="60" w:lineRule="auto" w:line="240"/>
      <w:jc w:val="center"/>
      <w:outlineLvl w:val="1"/>
    </w:pPr>
    <w:rPr>
      <w:rFonts w:ascii="Cambria" w:cs="Times New Roman" w:eastAsia="Times New Roman" w:hAnsi="Cambria"/>
      <w:sz w:val="24"/>
      <w:szCs w:val="24"/>
      <w:lang w:val="fr-FR"/>
    </w:rPr>
  </w:style>
  <w:style w:type="character" w:customStyle="1" w:styleId="style4101">
    <w:name w:val="Sous-titre Car"/>
    <w:basedOn w:val="style65"/>
    <w:next w:val="style4101"/>
    <w:link w:val="style74"/>
    <w:uiPriority w:val="11"/>
    <w:rPr>
      <w:rFonts w:ascii="Cambria" w:cs="Times New Roman" w:eastAsia="Times New Roman" w:hAnsi="Cambria"/>
      <w:sz w:val="24"/>
      <w:szCs w:val="24"/>
      <w:lang w:eastAsia="fr-FR"/>
    </w:rPr>
  </w:style>
  <w:style w:type="character" w:customStyle="1" w:styleId="style4102">
    <w:name w:val="Titre 4 Car"/>
    <w:basedOn w:val="style65"/>
    <w:next w:val="style4102"/>
    <w:link w:val="style4"/>
    <w:rPr>
      <w:rFonts w:ascii="Arial" w:cs="Arial" w:eastAsia="Times New Roman" w:hAnsi="Arial"/>
      <w:b/>
      <w:i/>
      <w:iCs/>
      <w:sz w:val="24"/>
      <w:szCs w:val="24"/>
      <w:lang w:eastAsia="fr-FR"/>
    </w:rPr>
  </w:style>
  <w:style w:type="paragraph" w:styleId="style32">
    <w:name w:val="footer"/>
    <w:basedOn w:val="style0"/>
    <w:next w:val="style32"/>
    <w:link w:val="style4103"/>
    <w:uiPriority w:val="99"/>
    <w:pPr>
      <w:tabs>
        <w:tab w:val="center" w:leader="none" w:pos="4536"/>
        <w:tab w:val="right" w:leader="none" w:pos="9072"/>
      </w:tabs>
      <w:spacing w:after="0" w:lineRule="auto" w:line="240"/>
      <w:jc w:val="both"/>
    </w:pPr>
    <w:rPr>
      <w:rFonts w:ascii="Times New Roman" w:cs="Times New Roman" w:eastAsia="Times New Roman" w:hAnsi="Times New Roman"/>
      <w:sz w:val="24"/>
      <w:szCs w:val="24"/>
      <w:lang w:val="fr-FR"/>
    </w:rPr>
  </w:style>
  <w:style w:type="character" w:customStyle="1" w:styleId="style4103">
    <w:name w:val="Pied de page Car"/>
    <w:basedOn w:val="style65"/>
    <w:next w:val="style4103"/>
    <w:link w:val="style32"/>
    <w:uiPriority w:val="99"/>
    <w:rPr>
      <w:rFonts w:ascii="Times New Roman" w:cs="Times New Roman" w:eastAsia="Times New Roman" w:hAnsi="Times New Roman"/>
      <w:sz w:val="24"/>
      <w:szCs w:val="24"/>
      <w:lang w:eastAsia="fr-FR"/>
    </w:rPr>
  </w:style>
  <w:style w:type="character" w:customStyle="1" w:styleId="style4104">
    <w:name w:val="Titre 5 Car"/>
    <w:basedOn w:val="style65"/>
    <w:next w:val="style4104"/>
    <w:link w:val="style5"/>
    <w:rPr>
      <w:rFonts w:ascii="Times New Roman" w:cs="Times New Roman" w:eastAsia="Times New Roman" w:hAnsi="Times New Roman"/>
      <w:b/>
      <w:iCs/>
      <w:sz w:val="24"/>
      <w:szCs w:val="24"/>
      <w:lang w:val="en-US" w:eastAsia="fr-FR"/>
    </w:rPr>
  </w:style>
  <w:style w:type="character" w:customStyle="1" w:styleId="style4105">
    <w:name w:val="Titre 6 Car"/>
    <w:basedOn w:val="style65"/>
    <w:next w:val="style4105"/>
    <w:link w:val="style6"/>
    <w:rPr>
      <w:rFonts w:ascii="Times New Roman" w:cs="Times New Roman" w:eastAsia="Times New Roman" w:hAnsi="Times New Roman"/>
      <w:b/>
      <w:iCs/>
      <w:sz w:val="24"/>
      <w:szCs w:val="24"/>
      <w:lang w:val="en-US" w:eastAsia="fr-FR"/>
    </w:rPr>
  </w:style>
  <w:style w:type="character" w:customStyle="1" w:styleId="style4106">
    <w:name w:val="Titre 7 Car"/>
    <w:basedOn w:val="style65"/>
    <w:next w:val="style4106"/>
    <w:link w:val="style7"/>
    <w:rPr>
      <w:rFonts w:ascii="Calibri" w:cs="Times New Roman" w:eastAsia="Times New Roman" w:hAnsi="Calibri"/>
      <w:sz w:val="24"/>
      <w:szCs w:val="24"/>
      <w:lang w:eastAsia="fr-FR"/>
    </w:rPr>
  </w:style>
  <w:style w:type="character" w:customStyle="1" w:styleId="style4107">
    <w:name w:val="Titre 8 Car"/>
    <w:basedOn w:val="style65"/>
    <w:next w:val="style4107"/>
    <w:link w:val="style8"/>
    <w:rPr>
      <w:rFonts w:ascii="Calibri" w:cs="Times New Roman" w:eastAsia="Times New Roman" w:hAnsi="Calibri"/>
      <w:i/>
      <w:iCs/>
      <w:sz w:val="24"/>
      <w:szCs w:val="24"/>
      <w:lang w:eastAsia="fr-FR"/>
    </w:rPr>
  </w:style>
  <w:style w:type="character" w:customStyle="1" w:styleId="style4108">
    <w:name w:val="Titre 9 Car"/>
    <w:basedOn w:val="style65"/>
    <w:next w:val="style4108"/>
    <w:link w:val="style9"/>
    <w:rPr>
      <w:rFonts w:ascii="Cambria" w:cs="Times New Roman" w:eastAsia="Times New Roman" w:hAnsi="Cambria"/>
      <w:sz w:val="20"/>
      <w:szCs w:val="20"/>
      <w:lang w:eastAsia="fr-FR"/>
    </w:rPr>
  </w:style>
  <w:style w:type="paragraph" w:styleId="style62">
    <w:name w:val="Title"/>
    <w:basedOn w:val="style0"/>
    <w:next w:val="style0"/>
    <w:link w:val="style4109"/>
    <w:qFormat/>
    <w:pPr>
      <w:spacing w:after="0" w:lineRule="auto" w:line="240"/>
      <w:jc w:val="both"/>
    </w:pPr>
    <w:rPr>
      <w:rFonts w:ascii="Times New Roman" w:cs="Times New Roman" w:eastAsia="Times New Roman" w:hAnsi="Times New Roman"/>
      <w:b/>
      <w:bCs/>
      <w:sz w:val="28"/>
      <w:szCs w:val="36"/>
      <w:lang w:val="en-US"/>
    </w:rPr>
  </w:style>
  <w:style w:type="character" w:customStyle="1" w:styleId="style4109">
    <w:name w:val="Titre Car"/>
    <w:basedOn w:val="style65"/>
    <w:next w:val="style4109"/>
    <w:link w:val="style62"/>
    <w:rPr>
      <w:rFonts w:ascii="Times New Roman" w:cs="Times New Roman" w:eastAsia="Times New Roman" w:hAnsi="Times New Roman"/>
      <w:b/>
      <w:bCs/>
      <w:sz w:val="28"/>
      <w:szCs w:val="36"/>
      <w:lang w:val="en-US" w:eastAsia="fr-FR"/>
    </w:rPr>
  </w:style>
  <w:style w:type="character" w:styleId="style87">
    <w:name w:val="Strong"/>
    <w:basedOn w:val="style65"/>
    <w:next w:val="style87"/>
    <w:qFormat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rFonts w:ascii="Calibri" w:hAnsi="Calibri"/>
      <w:b/>
      <w:i/>
      <w:iCs/>
    </w:rPr>
  </w:style>
  <w:style w:type="paragraph" w:customStyle="1" w:styleId="style4110">
    <w:name w:val="Sans interligne1"/>
    <w:basedOn w:val="style0"/>
    <w:next w:val="style4110"/>
    <w:link w:val="style4111"/>
    <w:qFormat/>
    <w:uiPriority w:val="1"/>
    <w:pPr>
      <w:spacing w:after="0" w:lineRule="auto" w:line="240"/>
      <w:jc w:val="both"/>
    </w:pPr>
    <w:rPr>
      <w:rFonts w:ascii="Times New Roman" w:cs="Times New Roman" w:eastAsia="Times New Roman" w:hAnsi="Times New Roman"/>
      <w:sz w:val="24"/>
      <w:szCs w:val="32"/>
      <w:lang w:val="fr-FR"/>
    </w:rPr>
  </w:style>
  <w:style w:type="character" w:customStyle="1" w:styleId="style4111">
    <w:name w:val="Sans interligne Car"/>
    <w:basedOn w:val="style65"/>
    <w:next w:val="style4111"/>
    <w:link w:val="style4110"/>
    <w:uiPriority w:val="1"/>
    <w:rPr>
      <w:rFonts w:ascii="Times New Roman" w:cs="Times New Roman" w:eastAsia="Times New Roman" w:hAnsi="Times New Roman"/>
      <w:sz w:val="24"/>
      <w:szCs w:val="32"/>
      <w:lang w:eastAsia="fr-FR"/>
    </w:rPr>
  </w:style>
  <w:style w:type="paragraph" w:customStyle="1" w:styleId="style4112">
    <w:name w:val="Paragraphe de liste1"/>
    <w:basedOn w:val="style0"/>
    <w:next w:val="style4112"/>
    <w:qFormat/>
    <w:uiPriority w:val="34"/>
    <w:pPr>
      <w:spacing w:after="0" w:lineRule="auto" w:line="240"/>
      <w:ind w:left="720"/>
      <w:jc w:val="both"/>
      <w:contextualSpacing/>
    </w:pPr>
    <w:rPr>
      <w:rFonts w:ascii="Times New Roman" w:cs="Times New Roman" w:eastAsia="Times New Roman" w:hAnsi="Times New Roman"/>
      <w:sz w:val="24"/>
      <w:szCs w:val="24"/>
      <w:lang w:val="fr-FR"/>
    </w:rPr>
  </w:style>
  <w:style w:type="paragraph" w:customStyle="1" w:styleId="style4113">
    <w:name w:val="Citation1"/>
    <w:basedOn w:val="style0"/>
    <w:next w:val="style0"/>
    <w:link w:val="style4114"/>
    <w:qFormat/>
    <w:uiPriority w:val="29"/>
    <w:pPr>
      <w:spacing w:after="0" w:lineRule="auto" w:line="240"/>
      <w:jc w:val="both"/>
    </w:pPr>
    <w:rPr>
      <w:rFonts w:ascii="Calibri" w:cs="Times New Roman" w:eastAsia="Times New Roman" w:hAnsi="Calibri"/>
      <w:i/>
      <w:sz w:val="24"/>
      <w:szCs w:val="24"/>
      <w:lang w:val="fr-FR"/>
    </w:rPr>
  </w:style>
  <w:style w:type="character" w:customStyle="1" w:styleId="style4114">
    <w:name w:val="Citation Car"/>
    <w:basedOn w:val="style65"/>
    <w:next w:val="style4114"/>
    <w:link w:val="style4113"/>
    <w:uiPriority w:val="29"/>
    <w:rPr>
      <w:rFonts w:ascii="Calibri" w:cs="Times New Roman" w:eastAsia="Times New Roman" w:hAnsi="Calibri"/>
      <w:i/>
      <w:sz w:val="24"/>
      <w:szCs w:val="24"/>
      <w:lang w:eastAsia="fr-FR"/>
    </w:rPr>
  </w:style>
  <w:style w:type="paragraph" w:customStyle="1" w:styleId="style4115">
    <w:name w:val="Citation intense1"/>
    <w:basedOn w:val="style0"/>
    <w:next w:val="style0"/>
    <w:link w:val="style4116"/>
    <w:qFormat/>
    <w:uiPriority w:val="30"/>
    <w:pPr>
      <w:spacing w:after="0" w:lineRule="auto" w:line="240"/>
      <w:ind w:left="720" w:right="720"/>
      <w:jc w:val="both"/>
    </w:pPr>
    <w:rPr>
      <w:rFonts w:ascii="Calibri" w:cs="Times New Roman" w:eastAsia="Times New Roman" w:hAnsi="Calibri"/>
      <w:b/>
      <w:i/>
      <w:sz w:val="24"/>
      <w:szCs w:val="20"/>
      <w:lang w:val="fr-FR"/>
    </w:rPr>
  </w:style>
  <w:style w:type="character" w:customStyle="1" w:styleId="style4116">
    <w:name w:val="Citation intense Car"/>
    <w:basedOn w:val="style65"/>
    <w:next w:val="style4116"/>
    <w:link w:val="style4115"/>
    <w:uiPriority w:val="30"/>
    <w:rPr>
      <w:rFonts w:ascii="Calibri" w:cs="Times New Roman" w:eastAsia="Times New Roman" w:hAnsi="Calibri"/>
      <w:b/>
      <w:i/>
      <w:sz w:val="24"/>
      <w:szCs w:val="20"/>
      <w:lang w:eastAsia="fr-FR"/>
    </w:rPr>
  </w:style>
  <w:style w:type="character" w:customStyle="1" w:styleId="style4117">
    <w:name w:val="Emphase pâle1"/>
    <w:next w:val="style4117"/>
    <w:qFormat/>
    <w:uiPriority w:val="19"/>
    <w:rPr>
      <w:i/>
      <w:color w:val="5a5a5a"/>
    </w:rPr>
  </w:style>
  <w:style w:type="character" w:customStyle="1" w:styleId="style4118">
    <w:name w:val="Emphase intense1"/>
    <w:basedOn w:val="style65"/>
    <w:next w:val="style4118"/>
    <w:qFormat/>
    <w:uiPriority w:val="21"/>
    <w:rPr>
      <w:b/>
      <w:i/>
      <w:sz w:val="24"/>
      <w:szCs w:val="24"/>
      <w:u w:val="single"/>
    </w:rPr>
  </w:style>
  <w:style w:type="character" w:customStyle="1" w:styleId="style4119">
    <w:name w:val="Référence pâle1"/>
    <w:basedOn w:val="style65"/>
    <w:next w:val="style4119"/>
    <w:qFormat/>
    <w:uiPriority w:val="31"/>
    <w:rPr>
      <w:sz w:val="24"/>
      <w:szCs w:val="24"/>
      <w:u w:val="single"/>
    </w:rPr>
  </w:style>
  <w:style w:type="character" w:customStyle="1" w:styleId="style4120">
    <w:name w:val="Référence intense1"/>
    <w:basedOn w:val="style65"/>
    <w:next w:val="style4120"/>
    <w:qFormat/>
    <w:uiPriority w:val="32"/>
    <w:rPr>
      <w:b/>
      <w:sz w:val="24"/>
      <w:u w:val="single"/>
    </w:rPr>
  </w:style>
  <w:style w:type="character" w:customStyle="1" w:styleId="style4121">
    <w:name w:val="Titre du livre1"/>
    <w:basedOn w:val="style65"/>
    <w:next w:val="style4121"/>
    <w:qFormat/>
    <w:uiPriority w:val="33"/>
    <w:rPr>
      <w:rFonts w:ascii="Cambria" w:eastAsia="Times New Roman" w:hAnsi="Cambria"/>
      <w:b/>
      <w:i/>
      <w:sz w:val="24"/>
      <w:szCs w:val="24"/>
    </w:rPr>
  </w:style>
  <w:style w:type="paragraph" w:customStyle="1" w:styleId="style4122">
    <w:name w:val="En-tête de table des matières1"/>
    <w:basedOn w:val="style1"/>
    <w:next w:val="style0"/>
    <w:qFormat/>
    <w:uiPriority w:val="39"/>
    <w:pPr>
      <w:outlineLvl w:val="9"/>
    </w:pPr>
    <w:rPr>
      <w:rFonts w:eastAsia="Arial Unicode MS"/>
      <w:lang w:val="fr-FR"/>
    </w:rPr>
  </w:style>
  <w:style w:type="paragraph" w:styleId="style66">
    <w:name w:val="Body Text"/>
    <w:basedOn w:val="style0"/>
    <w:next w:val="style66"/>
    <w:link w:val="style4123"/>
    <w:pPr>
      <w:spacing w:after="0" w:lineRule="auto" w:line="240"/>
      <w:jc w:val="center"/>
    </w:pPr>
    <w:rPr>
      <w:rFonts w:ascii="Lucida Bright" w:cs="Tahoma" w:eastAsia="Times New Roman" w:hAnsi="Lucida Bright"/>
      <w:b/>
      <w:bCs/>
      <w:sz w:val="32"/>
      <w:szCs w:val="24"/>
      <w:lang w:val="fr-FR"/>
    </w:rPr>
  </w:style>
  <w:style w:type="character" w:customStyle="1" w:styleId="style4123">
    <w:name w:val="Corps de texte Car"/>
    <w:basedOn w:val="style65"/>
    <w:next w:val="style4123"/>
    <w:link w:val="style66"/>
    <w:rPr>
      <w:rFonts w:ascii="Lucida Bright" w:cs="Tahoma" w:eastAsia="Times New Roman" w:hAnsi="Lucida Bright"/>
      <w:b/>
      <w:bCs/>
      <w:sz w:val="32"/>
      <w:szCs w:val="24"/>
      <w:lang w:eastAsia="fr-FR"/>
    </w:rPr>
  </w:style>
  <w:style w:type="paragraph" w:styleId="style80">
    <w:name w:val="Body Text 2"/>
    <w:basedOn w:val="style0"/>
    <w:next w:val="style80"/>
    <w:link w:val="style4124"/>
    <w:pPr>
      <w:spacing w:after="0" w:lineRule="auto" w:line="240"/>
      <w:jc w:val="both"/>
    </w:pPr>
    <w:rPr>
      <w:rFonts w:ascii="Times New Roman" w:cs="Times New Roman" w:eastAsia="Times New Roman" w:hAnsi="Times New Roman"/>
      <w:b/>
      <w:bCs/>
      <w:i/>
      <w:iCs/>
      <w:sz w:val="24"/>
      <w:szCs w:val="24"/>
      <w:lang w:val="fr-FR"/>
    </w:rPr>
  </w:style>
  <w:style w:type="character" w:customStyle="1" w:styleId="style4124">
    <w:name w:val="Corps de texte 2 Car"/>
    <w:basedOn w:val="style65"/>
    <w:next w:val="style4124"/>
    <w:link w:val="style80"/>
    <w:rPr>
      <w:rFonts w:ascii="Times New Roman" w:cs="Times New Roman" w:eastAsia="Times New Roman" w:hAnsi="Times New Roman"/>
      <w:b/>
      <w:bCs/>
      <w:i/>
      <w:iCs/>
      <w:sz w:val="24"/>
      <w:szCs w:val="24"/>
      <w:lang w:eastAsia="fr-FR"/>
    </w:rPr>
  </w:style>
  <w:style w:type="paragraph" w:styleId="style19">
    <w:name w:val="toc 1"/>
    <w:basedOn w:val="style0"/>
    <w:next w:val="style0"/>
    <w:uiPriority w:val="39"/>
    <w:pPr>
      <w:tabs>
        <w:tab w:val="left" w:leader="none" w:pos="342"/>
        <w:tab w:val="right" w:leader="dot" w:pos="9905"/>
      </w:tabs>
      <w:spacing w:before="120" w:after="120" w:lineRule="auto" w:line="240"/>
      <w:jc w:val="both"/>
    </w:pPr>
    <w:rPr>
      <w:rFonts w:cs="Calibri" w:eastAsia="Times New Roman"/>
      <w:b/>
      <w:caps/>
      <w:smallCaps/>
      <w:noProof/>
      <w:sz w:val="28"/>
      <w:szCs w:val="28"/>
      <w:lang w:val="fr-FR"/>
    </w:rPr>
  </w:style>
  <w:style w:type="paragraph" w:styleId="style20">
    <w:name w:val="toc 2"/>
    <w:basedOn w:val="style0"/>
    <w:next w:val="style0"/>
    <w:uiPriority w:val="39"/>
    <w:pPr>
      <w:tabs>
        <w:tab w:val="left" w:leader="none" w:pos="546"/>
        <w:tab w:val="right" w:leader="none" w:pos="9905"/>
      </w:tabs>
      <w:spacing w:before="120" w:after="0" w:lineRule="auto" w:line="240"/>
      <w:jc w:val="both"/>
    </w:pPr>
    <w:rPr>
      <w:rFonts w:ascii="Arial" w:cs="Times New Roman" w:eastAsia="Times New Roman" w:hAnsi="Arial"/>
      <w:b/>
      <w:bCs/>
      <w:sz w:val="20"/>
      <w:lang w:val="fr-FR"/>
    </w:rPr>
  </w:style>
  <w:style w:type="paragraph" w:styleId="style21">
    <w:name w:val="toc 3"/>
    <w:basedOn w:val="style0"/>
    <w:next w:val="style0"/>
    <w:uiPriority w:val="39"/>
    <w:pPr>
      <w:spacing w:after="0" w:lineRule="auto" w:line="240"/>
      <w:jc w:val="both"/>
    </w:pPr>
    <w:rPr>
      <w:rFonts w:ascii="Verdana" w:cs="Arial" w:eastAsia="Times New Roman" w:hAnsi="Verdana"/>
      <w:sz w:val="28"/>
      <w:szCs w:val="28"/>
      <w:lang w:val="fr-FR"/>
    </w:rPr>
  </w:style>
  <w:style w:type="paragraph" w:styleId="style22">
    <w:name w:val="toc 4"/>
    <w:basedOn w:val="style0"/>
    <w:next w:val="style0"/>
    <w:uiPriority w:val="39"/>
    <w:pPr>
      <w:spacing w:after="0" w:lineRule="auto" w:line="240"/>
      <w:jc w:val="both"/>
    </w:pPr>
    <w:rPr>
      <w:rFonts w:ascii="Times New Roman" w:cs="Times New Roman" w:eastAsia="Times New Roman" w:hAnsi="Times New Roman"/>
      <w:lang w:val="fr-FR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character" w:styleId="style41">
    <w:name w:val="page number"/>
    <w:basedOn w:val="style65"/>
    <w:next w:val="style41"/>
  </w:style>
  <w:style w:type="paragraph" w:styleId="style31">
    <w:name w:val="header"/>
    <w:basedOn w:val="style0"/>
    <w:next w:val="style31"/>
    <w:link w:val="style4125"/>
    <w:uiPriority w:val="99"/>
    <w:pPr>
      <w:tabs>
        <w:tab w:val="center" w:leader="none" w:pos="4536"/>
        <w:tab w:val="right" w:leader="none" w:pos="9072"/>
      </w:tabs>
      <w:spacing w:after="0" w:lineRule="auto" w:line="240"/>
      <w:jc w:val="both"/>
    </w:pPr>
    <w:rPr>
      <w:rFonts w:ascii="Times New Roman" w:cs="Times New Roman" w:eastAsia="Times New Roman" w:hAnsi="Times New Roman"/>
      <w:sz w:val="24"/>
      <w:szCs w:val="24"/>
      <w:lang w:val="fr-FR"/>
    </w:rPr>
  </w:style>
  <w:style w:type="character" w:customStyle="1" w:styleId="style4125">
    <w:name w:val="En-tête Car"/>
    <w:basedOn w:val="style65"/>
    <w:next w:val="style4125"/>
    <w:link w:val="style31"/>
    <w:uiPriority w:val="99"/>
    <w:rPr>
      <w:rFonts w:ascii="Times New Roman" w:cs="Times New Roman" w:eastAsia="Times New Roman" w:hAnsi="Times New Roman"/>
      <w:sz w:val="24"/>
      <w:szCs w:val="24"/>
      <w:lang w:eastAsia="fr-FR"/>
    </w:rPr>
  </w:style>
  <w:style w:type="character" w:customStyle="1" w:styleId="style4126">
    <w:name w:val="Note de bas de page Car"/>
    <w:basedOn w:val="style65"/>
    <w:next w:val="style4126"/>
    <w:link w:val="style29"/>
    <w:rPr>
      <w:rFonts w:ascii="Times New Roman" w:cs="Times New Roman" w:eastAsia="Times New Roman" w:hAnsi="Times New Roman"/>
      <w:sz w:val="20"/>
      <w:szCs w:val="20"/>
      <w:lang w:eastAsia="fr-FR"/>
    </w:rPr>
  </w:style>
  <w:style w:type="paragraph" w:styleId="style29">
    <w:name w:val="footnote text"/>
    <w:basedOn w:val="style0"/>
    <w:next w:val="style29"/>
    <w:link w:val="style4126"/>
    <w:pPr>
      <w:spacing w:after="0" w:lineRule="auto" w:line="240"/>
      <w:jc w:val="both"/>
    </w:pPr>
    <w:rPr>
      <w:rFonts w:ascii="Times New Roman" w:cs="Times New Roman" w:eastAsia="Times New Roman" w:hAnsi="Times New Roman"/>
      <w:sz w:val="20"/>
      <w:szCs w:val="20"/>
      <w:lang w:val="fr-FR"/>
    </w:rPr>
  </w:style>
  <w:style w:type="character" w:customStyle="1" w:styleId="style4127">
    <w:name w:val="Texte de bulles Car"/>
    <w:basedOn w:val="style65"/>
    <w:next w:val="style4127"/>
    <w:link w:val="style153"/>
    <w:uiPriority w:val="99"/>
    <w:rPr>
      <w:rFonts w:ascii="Tahoma" w:cs="Tahoma" w:eastAsia="Times New Roman" w:hAnsi="Tahoma"/>
      <w:sz w:val="16"/>
      <w:szCs w:val="16"/>
      <w:lang w:eastAsia="fr-FR"/>
    </w:rPr>
  </w:style>
  <w:style w:type="paragraph" w:styleId="style153">
    <w:name w:val="Balloon Text"/>
    <w:basedOn w:val="style0"/>
    <w:next w:val="style153"/>
    <w:link w:val="style4127"/>
    <w:uiPriority w:val="99"/>
    <w:pPr>
      <w:spacing w:after="0" w:lineRule="auto" w:line="240"/>
      <w:jc w:val="both"/>
    </w:pPr>
    <w:rPr>
      <w:rFonts w:ascii="Tahoma" w:cs="Tahoma" w:eastAsia="Times New Roman" w:hAnsi="Tahoma"/>
      <w:sz w:val="16"/>
      <w:szCs w:val="16"/>
      <w:lang w:val="fr-FR"/>
    </w:rPr>
  </w:style>
  <w:style w:type="character" w:customStyle="1" w:styleId="style4128">
    <w:name w:val="Note de fin Car"/>
    <w:basedOn w:val="style65"/>
    <w:next w:val="style4128"/>
    <w:link w:val="style43"/>
    <w:uiPriority w:val="99"/>
    <w:rPr>
      <w:rFonts w:ascii="Times New Roman" w:cs="Times New Roman" w:eastAsia="Times New Roman" w:hAnsi="Times New Roman"/>
      <w:sz w:val="20"/>
      <w:szCs w:val="20"/>
      <w:lang w:eastAsia="fr-FR"/>
    </w:rPr>
  </w:style>
  <w:style w:type="paragraph" w:styleId="style43">
    <w:name w:val="endnote text"/>
    <w:basedOn w:val="style0"/>
    <w:next w:val="style43"/>
    <w:link w:val="style4128"/>
    <w:uiPriority w:val="99"/>
    <w:pPr>
      <w:spacing w:after="0" w:lineRule="auto" w:line="240"/>
      <w:jc w:val="both"/>
    </w:pPr>
    <w:rPr>
      <w:rFonts w:ascii="Times New Roman" w:cs="Times New Roman" w:eastAsia="Times New Roman" w:hAnsi="Times New Roman"/>
      <w:sz w:val="20"/>
      <w:szCs w:val="20"/>
      <w:lang w:val="fr-FR"/>
    </w:rPr>
  </w:style>
  <w:style w:type="paragraph" w:styleId="style89">
    <w:name w:val="Document Map"/>
    <w:basedOn w:val="style0"/>
    <w:next w:val="style89"/>
    <w:link w:val="style4129"/>
    <w:pPr>
      <w:spacing w:after="0" w:lineRule="auto" w:line="240"/>
      <w:jc w:val="both"/>
    </w:pPr>
    <w:rPr>
      <w:rFonts w:ascii="Tahoma" w:cs="Tahoma" w:eastAsia="Times New Roman" w:hAnsi="Tahoma"/>
      <w:sz w:val="16"/>
      <w:szCs w:val="16"/>
      <w:lang w:val="fr-FR"/>
    </w:rPr>
  </w:style>
  <w:style w:type="character" w:customStyle="1" w:styleId="style4129">
    <w:name w:val="Explorateur de documents Car"/>
    <w:basedOn w:val="style65"/>
    <w:next w:val="style4129"/>
    <w:link w:val="style89"/>
    <w:rPr>
      <w:rFonts w:ascii="Tahoma" w:cs="Tahoma" w:eastAsia="Times New Roman" w:hAnsi="Tahoma"/>
      <w:sz w:val="16"/>
      <w:szCs w:val="16"/>
      <w:lang w:eastAsia="fr-FR"/>
    </w:rPr>
  </w:style>
  <w:style w:type="paragraph" w:styleId="style35">
    <w:name w:val="table of figures"/>
    <w:basedOn w:val="style0"/>
    <w:next w:val="style1"/>
    <w:qFormat/>
    <w:uiPriority w:val="99"/>
    <w:pPr>
      <w:spacing w:before="60" w:after="60" w:lineRule="auto" w:line="240"/>
      <w:ind w:left="482" w:hanging="482"/>
      <w:jc w:val="both"/>
    </w:pPr>
    <w:rPr>
      <w:rFonts w:ascii="Arial" w:cs="Times New Roman" w:eastAsia="Times New Roman" w:hAnsi="Arial"/>
      <w:sz w:val="20"/>
      <w:szCs w:val="20"/>
      <w:lang w:val="fr-FR"/>
    </w:rPr>
  </w:style>
  <w:style w:type="paragraph" w:styleId="style10">
    <w:name w:val="index 1"/>
    <w:basedOn w:val="style0"/>
    <w:next w:val="style0"/>
    <w:uiPriority w:val="99"/>
    <w:pPr>
      <w:spacing w:after="0" w:lineRule="auto" w:line="240"/>
      <w:ind w:left="240" w:hanging="240"/>
      <w:jc w:val="both"/>
    </w:pPr>
    <w:rPr>
      <w:rFonts w:ascii="Calibri" w:cs="Times New Roman" w:eastAsia="Times New Roman" w:hAnsi="Calibri"/>
      <w:sz w:val="18"/>
      <w:szCs w:val="18"/>
      <w:lang w:val="fr-FR"/>
    </w:rPr>
  </w:style>
  <w:style w:type="paragraph" w:styleId="style11">
    <w:name w:val="index 2"/>
    <w:basedOn w:val="style0"/>
    <w:next w:val="style0"/>
    <w:uiPriority w:val="99"/>
    <w:pPr>
      <w:spacing w:after="0" w:lineRule="auto" w:line="240"/>
      <w:ind w:left="480" w:hanging="240"/>
      <w:jc w:val="both"/>
    </w:pPr>
    <w:rPr>
      <w:rFonts w:ascii="Calibri" w:cs="Times New Roman" w:eastAsia="Times New Roman" w:hAnsi="Calibri"/>
      <w:sz w:val="18"/>
      <w:szCs w:val="18"/>
      <w:lang w:val="fr-FR"/>
    </w:rPr>
  </w:style>
  <w:style w:type="paragraph" w:styleId="style12">
    <w:name w:val="index 3"/>
    <w:basedOn w:val="style0"/>
    <w:next w:val="style0"/>
    <w:uiPriority w:val="99"/>
    <w:pPr>
      <w:spacing w:after="0" w:lineRule="auto" w:line="240"/>
      <w:ind w:left="720" w:hanging="240"/>
      <w:jc w:val="both"/>
    </w:pPr>
    <w:rPr>
      <w:rFonts w:ascii="Calibri" w:cs="Times New Roman" w:eastAsia="Times New Roman" w:hAnsi="Calibri"/>
      <w:sz w:val="18"/>
      <w:szCs w:val="18"/>
      <w:lang w:val="fr-FR"/>
    </w:rPr>
  </w:style>
  <w:style w:type="paragraph" w:styleId="style13">
    <w:name w:val="index 4"/>
    <w:basedOn w:val="style0"/>
    <w:next w:val="style0"/>
    <w:uiPriority w:val="99"/>
    <w:pPr>
      <w:spacing w:after="0" w:lineRule="auto" w:line="240"/>
      <w:ind w:left="960" w:hanging="240"/>
      <w:jc w:val="both"/>
    </w:pPr>
    <w:rPr>
      <w:rFonts w:ascii="Calibri" w:cs="Times New Roman" w:eastAsia="Times New Roman" w:hAnsi="Calibri"/>
      <w:sz w:val="18"/>
      <w:szCs w:val="18"/>
      <w:lang w:val="fr-FR"/>
    </w:rPr>
  </w:style>
  <w:style w:type="paragraph" w:styleId="style14">
    <w:name w:val="index 5"/>
    <w:basedOn w:val="style0"/>
    <w:next w:val="style0"/>
    <w:uiPriority w:val="99"/>
    <w:pPr>
      <w:spacing w:after="0" w:lineRule="auto" w:line="240"/>
      <w:ind w:left="1200" w:hanging="240"/>
      <w:jc w:val="both"/>
    </w:pPr>
    <w:rPr>
      <w:rFonts w:ascii="Calibri" w:cs="Times New Roman" w:eastAsia="Times New Roman" w:hAnsi="Calibri"/>
      <w:sz w:val="18"/>
      <w:szCs w:val="18"/>
      <w:lang w:val="fr-FR"/>
    </w:rPr>
  </w:style>
  <w:style w:type="paragraph" w:styleId="style15">
    <w:name w:val="index 6"/>
    <w:basedOn w:val="style0"/>
    <w:next w:val="style0"/>
    <w:uiPriority w:val="99"/>
    <w:pPr>
      <w:spacing w:after="0" w:lineRule="auto" w:line="240"/>
      <w:ind w:left="1440" w:hanging="240"/>
      <w:jc w:val="both"/>
    </w:pPr>
    <w:rPr>
      <w:rFonts w:ascii="Calibri" w:cs="Times New Roman" w:eastAsia="Times New Roman" w:hAnsi="Calibri"/>
      <w:sz w:val="18"/>
      <w:szCs w:val="18"/>
      <w:lang w:val="fr-FR"/>
    </w:rPr>
  </w:style>
  <w:style w:type="paragraph" w:styleId="style16">
    <w:name w:val="index 7"/>
    <w:basedOn w:val="style0"/>
    <w:next w:val="style0"/>
    <w:uiPriority w:val="99"/>
    <w:pPr>
      <w:spacing w:after="0" w:lineRule="auto" w:line="240"/>
      <w:ind w:left="1680" w:hanging="240"/>
      <w:jc w:val="both"/>
    </w:pPr>
    <w:rPr>
      <w:rFonts w:ascii="Calibri" w:cs="Times New Roman" w:eastAsia="Times New Roman" w:hAnsi="Calibri"/>
      <w:sz w:val="18"/>
      <w:szCs w:val="18"/>
      <w:lang w:val="fr-FR"/>
    </w:rPr>
  </w:style>
  <w:style w:type="paragraph" w:styleId="style17">
    <w:name w:val="index 8"/>
    <w:basedOn w:val="style0"/>
    <w:next w:val="style0"/>
    <w:uiPriority w:val="99"/>
    <w:pPr>
      <w:spacing w:after="0" w:lineRule="auto" w:line="240"/>
      <w:ind w:left="1920" w:hanging="240"/>
      <w:jc w:val="both"/>
    </w:pPr>
    <w:rPr>
      <w:rFonts w:ascii="Calibri" w:cs="Times New Roman" w:eastAsia="Times New Roman" w:hAnsi="Calibri"/>
      <w:sz w:val="18"/>
      <w:szCs w:val="18"/>
      <w:lang w:val="fr-FR"/>
    </w:rPr>
  </w:style>
  <w:style w:type="paragraph" w:styleId="style18">
    <w:name w:val="index 9"/>
    <w:basedOn w:val="style0"/>
    <w:next w:val="style0"/>
    <w:uiPriority w:val="99"/>
    <w:pPr>
      <w:spacing w:after="0" w:lineRule="auto" w:line="240"/>
      <w:ind w:left="2160" w:hanging="240"/>
      <w:jc w:val="both"/>
    </w:pPr>
    <w:rPr>
      <w:rFonts w:ascii="Calibri" w:cs="Times New Roman" w:eastAsia="Times New Roman" w:hAnsi="Calibri"/>
      <w:sz w:val="18"/>
      <w:szCs w:val="18"/>
      <w:lang w:val="fr-FR"/>
    </w:rPr>
  </w:style>
  <w:style w:type="paragraph" w:styleId="style33">
    <w:name w:val="index heading"/>
    <w:basedOn w:val="style0"/>
    <w:next w:val="style10"/>
    <w:uiPriority w:val="99"/>
    <w:pPr>
      <w:spacing w:before="240" w:after="120" w:lineRule="auto" w:line="240"/>
      <w:jc w:val="center"/>
    </w:pPr>
    <w:rPr>
      <w:rFonts w:ascii="Calibri" w:cs="Times New Roman" w:eastAsia="Times New Roman" w:hAnsi="Calibri"/>
      <w:b/>
      <w:bCs/>
      <w:sz w:val="26"/>
      <w:szCs w:val="26"/>
      <w:lang w:val="fr-FR"/>
    </w:rPr>
  </w:style>
  <w:style w:type="paragraph" w:customStyle="1" w:styleId="style4130">
    <w:name w:val="xl28"/>
    <w:basedOn w:val="style0"/>
    <w:next w:val="style4130"/>
    <w:pPr>
      <w:pBdr>
        <w:left w:val="single" w:sz="4" w:space="0" w:color="auto"/>
        <w:right w:val="single" w:sz="4" w:space="0" w:color="auto"/>
        <w:bottom w:val="single" w:sz="4" w:space="0" w:color="auto"/>
      </w:pBdr>
      <w:spacing w:before="100" w:beforeAutospacing="true" w:after="100" w:afterAutospacing="true" w:lineRule="auto" w:line="360"/>
      <w:jc w:val="both"/>
    </w:pPr>
    <w:rPr>
      <w:rFonts w:ascii="Comic Sans MS" w:cs="Times New Roman" w:eastAsia="Arial Unicode MS" w:hAnsi="Comic Sans MS"/>
      <w:lang w:val="fr-FR"/>
    </w:rPr>
  </w:style>
  <w:style w:type="paragraph" w:customStyle="1" w:styleId="style4131">
    <w:name w:val="xl24"/>
    <w:basedOn w:val="style0"/>
    <w:next w:val="style4131"/>
    <w:pPr>
      <w:spacing w:before="100" w:beforeAutospacing="true" w:after="100" w:afterAutospacing="true" w:lineRule="auto" w:line="360"/>
      <w:jc w:val="both"/>
    </w:pPr>
    <w:rPr>
      <w:rFonts w:ascii="Comic Sans MS" w:cs="Times New Roman" w:eastAsia="Arial Unicode MS" w:hAnsi="Comic Sans MS"/>
      <w:sz w:val="24"/>
      <w:szCs w:val="24"/>
      <w:lang w:val="fr-FR"/>
    </w:rPr>
  </w:style>
  <w:style w:type="paragraph" w:customStyle="1" w:styleId="style4132">
    <w:name w:val="xl91"/>
    <w:basedOn w:val="style0"/>
    <w:next w:val="style4132"/>
    <w:pPr>
      <w:pBdr>
        <w:left w:val="single" w:sz="4" w:space="0" w:color="auto"/>
        <w:right w:val="single" w:sz="4" w:space="0" w:color="auto"/>
        <w:bottom w:val="single" w:sz="4" w:space="0" w:color="auto"/>
      </w:pBdr>
      <w:spacing w:before="100" w:beforeAutospacing="true" w:after="100" w:afterAutospacing="true" w:lineRule="auto" w:line="360"/>
      <w:jc w:val="center"/>
    </w:pPr>
    <w:rPr>
      <w:rFonts w:ascii="Comic Sans MS" w:cs="Times New Roman" w:eastAsia="Arial Unicode MS" w:hAnsi="Comic Sans MS"/>
      <w:b/>
      <w:bCs/>
      <w:sz w:val="24"/>
      <w:szCs w:val="24"/>
      <w:lang w:val="fr-FR"/>
    </w:rPr>
  </w:style>
  <w:style w:type="paragraph" w:customStyle="1" w:styleId="style4133">
    <w:name w:val="Style1"/>
    <w:basedOn w:val="style2"/>
    <w:next w:val="style4133"/>
    <w:pPr>
      <w:keepNext/>
      <w:spacing w:after="0" w:lineRule="auto" w:line="360"/>
      <w:contextualSpacing w:val="false"/>
    </w:pPr>
    <w:rPr>
      <w:rFonts w:ascii="Comic Sans MS" w:hAnsi="Comic Sans MS"/>
      <w:iCs w:val="false"/>
      <w:smallCaps/>
      <w:sz w:val="24"/>
      <w:lang w:val="en-GB"/>
    </w:rPr>
  </w:style>
  <w:style w:type="paragraph" w:customStyle="1" w:styleId="style4134">
    <w:name w:val="Style3"/>
    <w:basedOn w:val="style0"/>
    <w:next w:val="style4134"/>
    <w:pPr>
      <w:spacing w:after="0" w:lineRule="auto" w:line="360"/>
      <w:jc w:val="both"/>
    </w:pPr>
    <w:rPr>
      <w:rFonts w:ascii="Comic Sans MS" w:cs="Arial Unicode MS" w:eastAsia="Arial Unicode MS" w:hAnsi="Comic Sans MS"/>
      <w:b/>
      <w:bCs/>
      <w:i/>
      <w:smallCaps/>
      <w:sz w:val="24"/>
      <w:szCs w:val="24"/>
      <w:u w:val="single"/>
      <w:lang w:val="fr-FR"/>
    </w:rPr>
  </w:style>
  <w:style w:type="paragraph" w:customStyle="1" w:styleId="style4135">
    <w:name w:val="Style4"/>
    <w:basedOn w:val="style6"/>
    <w:next w:val="style4135"/>
    <w:pPr>
      <w:keepNext/>
      <w:spacing w:before="0" w:after="0" w:lineRule="auto" w:line="360"/>
      <w:ind w:right="284"/>
      <w:contextualSpacing w:val="false"/>
    </w:pPr>
    <w:rPr>
      <w:rFonts w:ascii="Comic Sans MS" w:cs="Arial Unicode MS" w:eastAsia="Arial Unicode MS" w:hAnsi="Comic Sans MS"/>
      <w:bCs/>
      <w:iCs w:val="false"/>
      <w:lang w:val="fr-FR"/>
    </w:rPr>
  </w:style>
  <w:style w:type="paragraph" w:customStyle="1" w:styleId="style4136">
    <w:name w:val="xl29"/>
    <w:basedOn w:val="style0"/>
    <w:next w:val="style4136"/>
    <w:pPr>
      <w:pBdr>
        <w:left w:val="single" w:sz="4" w:space="0" w:color="auto"/>
        <w:right w:val="single" w:sz="4" w:space="0" w:color="auto"/>
        <w:bottom w:val="single" w:sz="4" w:space="0" w:color="auto"/>
      </w:pBdr>
      <w:spacing w:before="100" w:beforeAutospacing="true" w:after="100" w:afterAutospacing="true" w:lineRule="auto" w:line="360"/>
      <w:jc w:val="center"/>
    </w:pPr>
    <w:rPr>
      <w:rFonts w:ascii="Comic Sans MS" w:cs="Times New Roman" w:eastAsia="Arial Unicode MS" w:hAnsi="Comic Sans MS"/>
      <w:lang w:val="fr-FR"/>
    </w:rPr>
  </w:style>
  <w:style w:type="paragraph" w:styleId="style82">
    <w:name w:val="Body Text Indent 2"/>
    <w:basedOn w:val="style0"/>
    <w:next w:val="style82"/>
    <w:link w:val="style4137"/>
    <w:pPr>
      <w:spacing w:after="0" w:lineRule="auto" w:line="240"/>
      <w:ind w:left="360"/>
      <w:jc w:val="center"/>
    </w:pPr>
    <w:rPr>
      <w:rFonts w:ascii="Arial" w:cs="Arial" w:eastAsia="Times New Roman" w:hAnsi="Arial"/>
      <w:b/>
      <w:bCs/>
      <w:sz w:val="24"/>
      <w:szCs w:val="24"/>
      <w:lang w:val="fr-FR"/>
    </w:rPr>
  </w:style>
  <w:style w:type="character" w:customStyle="1" w:styleId="style4137">
    <w:name w:val="Retrait corps de texte 2 Car"/>
    <w:basedOn w:val="style65"/>
    <w:next w:val="style4137"/>
    <w:link w:val="style82"/>
    <w:rPr>
      <w:rFonts w:ascii="Arial" w:cs="Arial" w:eastAsia="Times New Roman" w:hAnsi="Arial"/>
      <w:b/>
      <w:bCs/>
      <w:sz w:val="24"/>
      <w:szCs w:val="24"/>
      <w:lang w:eastAsia="fr-FR"/>
    </w:rPr>
  </w:style>
  <w:style w:type="paragraph" w:styleId="style34">
    <w:name w:val="caption"/>
    <w:basedOn w:val="style0"/>
    <w:next w:val="style0"/>
    <w:qFormat/>
    <w:pPr>
      <w:spacing w:after="0" w:lineRule="auto" w:line="240"/>
      <w:jc w:val="both"/>
    </w:pPr>
    <w:rPr>
      <w:rFonts w:ascii="Times New Roman" w:cs="Times New Roman" w:eastAsia="Times New Roman" w:hAnsi="Times New Roman"/>
      <w:b/>
      <w:bCs/>
      <w:sz w:val="20"/>
      <w:szCs w:val="20"/>
      <w:lang w:val="fr-FR"/>
    </w:rPr>
  </w:style>
  <w:style w:type="paragraph" w:styleId="style179">
    <w:name w:val="List Paragraph"/>
    <w:basedOn w:val="style0"/>
    <w:next w:val="style179"/>
    <w:link w:val="style4138"/>
    <w:qFormat/>
    <w:uiPriority w:val="34"/>
    <w:pPr>
      <w:ind w:left="720"/>
      <w:jc w:val="both"/>
      <w:contextualSpacing/>
    </w:pPr>
    <w:rPr>
      <w:rFonts w:eastAsia="Calibri"/>
      <w:lang w:val="fr-FR" w:eastAsia="en-US"/>
    </w:rPr>
  </w:style>
  <w:style w:type="character" w:customStyle="1" w:styleId="style4138">
    <w:name w:val="Paragraphe de liste Car"/>
    <w:basedOn w:val="style65"/>
    <w:next w:val="style4138"/>
    <w:link w:val="style179"/>
    <w:uiPriority w:val="34"/>
  </w:style>
  <w:style w:type="paragraph" w:customStyle="1" w:styleId="style4139">
    <w:name w:val="Style2"/>
    <w:basedOn w:val="style1"/>
    <w:next w:val="style4139"/>
    <w:link w:val="style4140"/>
    <w:qFormat/>
    <w:pPr>
      <w:ind w:left="431" w:hanging="431"/>
    </w:pPr>
    <w:rPr/>
  </w:style>
  <w:style w:type="character" w:customStyle="1" w:styleId="style4140">
    <w:name w:val="Style2 Car"/>
    <w:basedOn w:val="style4097"/>
    <w:next w:val="style4140"/>
    <w:link w:val="style4139"/>
    <w:rPr>
      <w:rFonts w:ascii="Times New Roman" w:cs="Times New Roman" w:eastAsia="Times New Roman" w:hAnsi="Times New Roman"/>
      <w:b/>
      <w:bCs/>
      <w:color w:val="00b050"/>
      <w:sz w:val="36"/>
      <w:szCs w:val="24"/>
      <w:u w:val="single"/>
      <w:lang w:val="en-US" w:eastAsia="fr-FR"/>
    </w:rPr>
  </w:style>
  <w:style w:type="paragraph" w:customStyle="1" w:styleId="style4141">
    <w:name w:val="Pa5"/>
    <w:basedOn w:val="style0"/>
    <w:next w:val="style0"/>
    <w:uiPriority w:val="99"/>
    <w:pPr>
      <w:autoSpaceDE w:val="false"/>
      <w:autoSpaceDN w:val="false"/>
      <w:adjustRightInd w:val="false"/>
      <w:spacing w:after="0" w:lineRule="atLeast" w:line="281"/>
    </w:pPr>
    <w:rPr>
      <w:rFonts w:ascii="Gill Sans MT" w:hAnsi="Gill Sans MT"/>
      <w:sz w:val="24"/>
      <w:szCs w:val="24"/>
      <w:lang w:val="fr-FR"/>
    </w:rPr>
  </w:style>
  <w:style w:type="paragraph" w:styleId="style94">
    <w:name w:val="Normal (Web)"/>
    <w:basedOn w:val="style0"/>
    <w:next w:val="style94"/>
    <w:uiPriority w:val="99"/>
    <w:pPr>
      <w:spacing w:before="100" w:after="100" w:lineRule="auto" w:line="240"/>
    </w:pPr>
    <w:rPr>
      <w:rFonts w:ascii="Arial Unicode MS" w:cs="Times New Roman" w:eastAsia="Arial Unicode MS" w:hAnsi="Arial Unicode MS"/>
      <w:color w:val="000000"/>
      <w:sz w:val="24"/>
      <w:szCs w:val="20"/>
      <w:lang w:val="fr-FR"/>
    </w:rPr>
  </w:style>
  <w:style w:type="character" w:customStyle="1" w:styleId="style4142">
    <w:name w:val="c4_z2avtcy"/>
    <w:basedOn w:val="style65"/>
    <w:next w:val="style4142"/>
  </w:style>
  <w:style w:type="character" w:customStyle="1" w:styleId="style4143">
    <w:name w:val="Commentaire Car"/>
    <w:basedOn w:val="style65"/>
    <w:next w:val="style4143"/>
    <w:link w:val="style30"/>
    <w:uiPriority w:val="99"/>
    <w:rPr>
      <w:rFonts w:ascii="Times New Roman" w:cs="Times New Roman" w:eastAsia="Times New Roman" w:hAnsi="Times New Roman"/>
      <w:sz w:val="20"/>
      <w:szCs w:val="20"/>
      <w:lang w:eastAsia="fr-FR"/>
    </w:rPr>
  </w:style>
  <w:style w:type="paragraph" w:styleId="style30">
    <w:name w:val="annotation text"/>
    <w:basedOn w:val="style0"/>
    <w:next w:val="style30"/>
    <w:link w:val="style4143"/>
    <w:uiPriority w:val="99"/>
    <w:pPr>
      <w:spacing w:after="0" w:lineRule="auto" w:line="240"/>
    </w:pPr>
    <w:rPr>
      <w:rFonts w:ascii="Times New Roman" w:cs="Times New Roman" w:eastAsia="Times New Roman" w:hAnsi="Times New Roman"/>
      <w:sz w:val="20"/>
      <w:szCs w:val="20"/>
      <w:lang w:val="fr-FR"/>
    </w:rPr>
  </w:style>
  <w:style w:type="character" w:customStyle="1" w:styleId="style4144">
    <w:name w:val="Objet du commentaire Car"/>
    <w:basedOn w:val="style4143"/>
    <w:next w:val="style4144"/>
    <w:link w:val="style106"/>
    <w:uiPriority w:val="99"/>
    <w:rPr>
      <w:rFonts w:ascii="Times New Roman" w:cs="Times New Roman" w:eastAsia="Times New Roman" w:hAnsi="Times New Roman"/>
      <w:b/>
      <w:bCs/>
      <w:sz w:val="20"/>
      <w:szCs w:val="20"/>
      <w:lang w:eastAsia="fr-FR"/>
    </w:rPr>
  </w:style>
  <w:style w:type="paragraph" w:styleId="style106">
    <w:name w:val="annotation subject"/>
    <w:basedOn w:val="style30"/>
    <w:next w:val="style30"/>
    <w:link w:val="style4144"/>
    <w:uiPriority w:val="99"/>
    <w:pPr/>
    <w:rPr>
      <w:b/>
      <w:bCs/>
    </w:rPr>
  </w:style>
  <w:style w:type="character" w:customStyle="1" w:styleId="style4145">
    <w:name w:val="fontstyle21"/>
    <w:basedOn w:val="style65"/>
    <w:next w:val="style4145"/>
    <w:rPr>
      <w:rFonts w:ascii="Arial" w:cs="Arial" w:hAnsi="Arial" w:hint="default"/>
      <w:b w:val="false"/>
      <w:bCs w:val="false"/>
      <w:i w:val="false"/>
      <w:iCs w:val="false"/>
      <w:color w:val="000000"/>
      <w:sz w:val="22"/>
      <w:szCs w:val="22"/>
    </w:rPr>
  </w:style>
  <w:style w:type="paragraph" w:styleId="style266">
    <w:name w:val="TOC Heading"/>
    <w:basedOn w:val="style1"/>
    <w:next w:val="style0"/>
    <w:qFormat/>
    <w:uiPriority w:val="39"/>
    <w:pPr>
      <w:keepNext/>
      <w:keepLines/>
      <w:numPr>
        <w:ilvl w:val="0"/>
        <w:numId w:val="0"/>
      </w:numPr>
      <w:spacing w:before="240" w:after="0" w:lineRule="auto" w:line="259"/>
      <w:outlineLvl w:val="9"/>
      <w:contextualSpacing w:val="false"/>
    </w:pPr>
    <w:rPr>
      <w:rFonts w:ascii="Calibri Light" w:cs="宋体" w:eastAsia="宋体" w:hAnsi="Calibri Light"/>
      <w:b w:val="false"/>
      <w:bCs w:val="false"/>
      <w:color w:val="2f5496"/>
      <w:sz w:val="32"/>
      <w:szCs w:val="32"/>
      <w:u w:val="none"/>
      <w:lang w:val="fr-FR"/>
    </w:r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image" Target="media/image14.emf"/><Relationship Id="rId22" Type="http://schemas.openxmlformats.org/officeDocument/2006/relationships/image" Target="media/image16.emf"/><Relationship Id="rId21" Type="http://schemas.openxmlformats.org/officeDocument/2006/relationships/image" Target="media/image15.emf"/><Relationship Id="rId24" Type="http://schemas.openxmlformats.org/officeDocument/2006/relationships/chart" Target="charts/chart3.xml"/><Relationship Id="rId23" Type="http://schemas.openxmlformats.org/officeDocument/2006/relationships/chart" Target="charts/chart2.xml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emf"/><Relationship Id="rId4" Type="http://schemas.openxmlformats.org/officeDocument/2006/relationships/image" Target="media/image2.jpeg"/><Relationship Id="rId9" Type="http://schemas.openxmlformats.org/officeDocument/2006/relationships/oleObject" Target="embeddings/oleObject1.bin"/><Relationship Id="rId26" Type="http://schemas.openxmlformats.org/officeDocument/2006/relationships/chart" Target="charts/chart5.xml"/><Relationship Id="rId25" Type="http://schemas.openxmlformats.org/officeDocument/2006/relationships/chart" Target="charts/chart4.xml"/><Relationship Id="rId28" Type="http://schemas.openxmlformats.org/officeDocument/2006/relationships/chart" Target="charts/chart7.xml"/><Relationship Id="rId27" Type="http://schemas.openxmlformats.org/officeDocument/2006/relationships/chart" Target="charts/chart6.xml"/><Relationship Id="rId5" Type="http://schemas.openxmlformats.org/officeDocument/2006/relationships/footer" Target="footer1.xml"/><Relationship Id="rId6" Type="http://schemas.openxmlformats.org/officeDocument/2006/relationships/image" Target="media/image3.jpeg"/><Relationship Id="rId29" Type="http://schemas.openxmlformats.org/officeDocument/2006/relationships/chart" Target="charts/chart8.xml"/><Relationship Id="rId7" Type="http://schemas.openxmlformats.org/officeDocument/2006/relationships/chart" Target="charts/chart1.xml"/><Relationship Id="rId8" Type="http://schemas.openxmlformats.org/officeDocument/2006/relationships/image" Target="media/image3.emf"/><Relationship Id="rId31" Type="http://schemas.openxmlformats.org/officeDocument/2006/relationships/fontTable" Target="fontTable.xml"/><Relationship Id="rId30" Type="http://schemas.openxmlformats.org/officeDocument/2006/relationships/styles" Target="styles.xml"/><Relationship Id="rId11" Type="http://schemas.openxmlformats.org/officeDocument/2006/relationships/image" Target="media/image5.emf"/><Relationship Id="rId33" Type="http://schemas.openxmlformats.org/officeDocument/2006/relationships/theme" Target="theme/theme1.xml"/><Relationship Id="rId10" Type="http://schemas.openxmlformats.org/officeDocument/2006/relationships/image" Target="media/image4.emf"/><Relationship Id="rId32" Type="http://schemas.openxmlformats.org/officeDocument/2006/relationships/settings" Target="settings.xml"/><Relationship Id="rId13" Type="http://schemas.openxmlformats.org/officeDocument/2006/relationships/image" Target="media/image7.emf"/><Relationship Id="rId12" Type="http://schemas.openxmlformats.org/officeDocument/2006/relationships/image" Target="media/image6.emf"/><Relationship Id="rId34" Type="http://schemas.openxmlformats.org/officeDocument/2006/relationships/customXml" Target="../customXml/item1.xml"/><Relationship Id="rId15" Type="http://schemas.openxmlformats.org/officeDocument/2006/relationships/image" Target="media/image9.emf"/><Relationship Id="rId14" Type="http://schemas.openxmlformats.org/officeDocument/2006/relationships/image" Target="media/image8.emf"/><Relationship Id="rId17" Type="http://schemas.openxmlformats.org/officeDocument/2006/relationships/image" Target="media/image11.emf"/><Relationship Id="rId16" Type="http://schemas.openxmlformats.org/officeDocument/2006/relationships/image" Target="media/image10.emf"/><Relationship Id="rId19" Type="http://schemas.openxmlformats.org/officeDocument/2006/relationships/image" Target="media/image13.emf"/><Relationship Id="rId18" Type="http://schemas.openxmlformats.org/officeDocument/2006/relationships/image" Target="media/image12.emf"/>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Microsoft_Excel____4.xlsx"/><Relationship Id="rId2" Type="http://schemas.microsoft.com/office/2011/relationships/chartStyle" Target="style4.xml"/><Relationship Id="rId3" Type="http://schemas.microsoft.com/office/2011/relationships/chartColorStyle" Target="colors4.xml"/></Relationships>
</file>

<file path=word/charts/_rels/chart2.xml.rels><?xml version="1.0" encoding="UTF-8"?>
<Relationships xmlns="http://schemas.openxmlformats.org/package/2006/relationships"><Relationship Id="rId1" Type="http://schemas.openxmlformats.org/officeDocument/2006/relationships/package" Target="../embeddings/Microsoft_Excel____6.xlsx"/><Relationship Id="rId2" Type="http://schemas.microsoft.com/office/2011/relationships/chartStyle" Target="style6.xml"/><Relationship Id="rId3" Type="http://schemas.microsoft.com/office/2011/relationships/chartColorStyle" Target="colors6.xml"/></Relationships>
</file>

<file path=word/charts/_rels/chart3.xml.rels><?xml version="1.0" encoding="UTF-8"?>
<Relationships xmlns="http://schemas.openxmlformats.org/package/2006/relationships"><Relationship Id="rId1" Type="http://schemas.openxmlformats.org/officeDocument/2006/relationships/package" Target="../embeddings/Microsoft_Excel____1.xlsx"/><Relationship Id="rId2" Type="http://schemas.microsoft.com/office/2011/relationships/chartStyle" Target="style1.xml"/><Relationship Id="rId3" Type="http://schemas.microsoft.com/office/2011/relationships/chartColorStyle" Target="colors1.xml"/></Relationships>
</file>

<file path=word/charts/_rels/chart4.xml.rels><?xml version="1.0" encoding="UTF-8"?>
<Relationships xmlns="http://schemas.openxmlformats.org/package/2006/relationships"><Relationship Id="rId1" Type="http://schemas.openxmlformats.org/officeDocument/2006/relationships/package" Target="../embeddings/Microsoft_Excel____3.xlsx"/><Relationship Id="rId2" Type="http://schemas.microsoft.com/office/2011/relationships/chartStyle" Target="style3.xml"/><Relationship Id="rId3" Type="http://schemas.microsoft.com/office/2011/relationships/chartColorStyle" Target="colors3.xml"/></Relationships>
</file>

<file path=word/charts/_rels/chart5.xml.rels><?xml version="1.0" encoding="UTF-8"?>
<Relationships xmlns="http://schemas.openxmlformats.org/package/2006/relationships"><Relationship Id="rId1" Type="http://schemas.openxmlformats.org/officeDocument/2006/relationships/package" Target="../embeddings/Microsoft_Excel____8.xlsx"/><Relationship Id="rId2" Type="http://schemas.microsoft.com/office/2011/relationships/chartStyle" Target="style8.xml"/><Relationship Id="rId3" Type="http://schemas.microsoft.com/office/2011/relationships/chartColorStyle" Target="colors8.xml"/></Relationships>
</file>

<file path=word/charts/_rels/chart6.xml.rels><?xml version="1.0" encoding="UTF-8"?>
<Relationships xmlns="http://schemas.openxmlformats.org/package/2006/relationships"><Relationship Id="rId1" Type="http://schemas.openxmlformats.org/officeDocument/2006/relationships/package" Target="../embeddings/Microsoft_Excel____5.xlsx"/><Relationship Id="rId2" Type="http://schemas.microsoft.com/office/2011/relationships/chartStyle" Target="style5.xml"/><Relationship Id="rId3" Type="http://schemas.microsoft.com/office/2011/relationships/chartColorStyle" Target="colors5.xml"/></Relationships>
</file>

<file path=word/charts/_rels/chart7.xml.rels><?xml version="1.0" encoding="UTF-8"?>
<Relationships xmlns="http://schemas.openxmlformats.org/package/2006/relationships"><Relationship Id="rId1" Type="http://schemas.openxmlformats.org/officeDocument/2006/relationships/package" Target="../embeddings/Microsoft_Excel____2.xlsx"/><Relationship Id="rId2" Type="http://schemas.microsoft.com/office/2011/relationships/chartStyle" Target="style2.xml"/><Relationship Id="rId3" Type="http://schemas.microsoft.com/office/2011/relationships/chartColorStyle" Target="colors2.xml"/></Relationships>
</file>

<file path=word/charts/_rels/chart8.xml.rels><?xml version="1.0" encoding="UTF-8"?>
<Relationships xmlns="http://schemas.openxmlformats.org/package/2006/relationships"><Relationship Id="rId1" Type="http://schemas.openxmlformats.org/officeDocument/2006/relationships/package" Target="../embeddings/Microsoft_Excel____7.xlsx"/><Relationship Id="rId2" Type="http://schemas.microsoft.com/office/2011/relationships/chartStyle" Target="style7.xml"/><Relationship Id="rId3" Type="http://schemas.microsoft.com/office/2011/relationships/chartColorStyle" Target="colors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CM"/>
              <a:t>Graphique1: Différentes catégories de personnel exerçant au CHRM en 2025  </a:t>
            </a:r>
          </a:p>
        </c:rich>
      </c:tx>
      <c:layout>
        <c:manualLayout>
          <c:xMode val="edge"/>
          <c:yMode val="edge"/>
          <c:x val="0.11090975856183256"/>
          <c:y val="0.0223770309468171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Feuil1!$F$67:$G$67</c:f>
              <c:strCache>
                <c:ptCount val="2"/>
                <c:pt idx="0">
                  <c:v>Etat </c:v>
                </c:pt>
                <c:pt idx="1">
                  <c:v>Vacataire</c:v>
                </c:pt>
              </c:strCache>
            </c:strRef>
          </c:cat>
          <c:val>
            <c:numRef>
              <c:f>Feuil1!$F$68:$G$68</c:f>
              <c:numCache>
                <c:formatCode>General</c:formatCode>
                <c:ptCount val="2"/>
                <c:pt idx="0">
                  <c:v>49.0</c:v>
                </c:pt>
                <c:pt idx="1">
                  <c:v>189.0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</c:legendEntry>
      <c:layout>
        <c:manualLayout>
          <c:xMode val="edge"/>
          <c:yMode val="edge"/>
          <c:x val="0.34030895698155034"/>
          <c:y val="0.8393037013682035"/>
          <c:w val="0.49142509678958757"/>
          <c:h val="0.1185466674410693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ln>
                <a:noFill/>
              </a:ln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7083077381284786"/>
          <c:y val="0.05747126436781609"/>
          <c:w val="0.8966633160216675"/>
          <c:h val="0.7325064382626153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'Salle accouchement'!$B$17:$M$17</c:f>
              <c:strCache>
                <c:ptCount val="12"/>
                <c:pt idx="0">
                  <c:v>Jan</c:v>
                </c:pt>
                <c:pt idx="1">
                  <c:v>Fév</c:v>
                </c:pt>
                <c:pt idx="2">
                  <c:v>Mars</c:v>
                </c:pt>
                <c:pt idx="3">
                  <c:v>Avril</c:v>
                </c:pt>
                <c:pt idx="4">
                  <c:v>Mai</c:v>
                </c:pt>
                <c:pt idx="5">
                  <c:v>Juin</c:v>
                </c:pt>
                <c:pt idx="6">
                  <c:v>Juil</c:v>
                </c:pt>
                <c:pt idx="7">
                  <c:v>Août</c:v>
                </c:pt>
                <c:pt idx="8">
                  <c:v>Sept</c:v>
                </c:pt>
                <c:pt idx="9">
                  <c:v>Oct</c:v>
                </c:pt>
                <c:pt idx="10">
                  <c:v>Nov</c:v>
                </c:pt>
                <c:pt idx="11">
                  <c:v>Déc</c:v>
                </c:pt>
              </c:strCache>
            </c:strRef>
          </c:cat>
          <c:val>
            <c:numRef>
              <c:f>'Salle accouchement'!$B$18:$M$18</c:f>
              <c:numCache>
                <c:formatCode>General</c:formatCode>
                <c:ptCount val="12"/>
                <c:pt idx="0">
                  <c:v>6.0</c:v>
                </c:pt>
                <c:pt idx="1">
                  <c:v>5.0</c:v>
                </c:pt>
                <c:pt idx="2">
                  <c:v>2.0</c:v>
                </c:pt>
                <c:pt idx="3">
                  <c:v>16.0</c:v>
                </c:pt>
                <c:pt idx="4">
                  <c:v>15.0</c:v>
                </c:pt>
                <c:pt idx="5">
                  <c:v>6.0</c:v>
                </c:pt>
                <c:pt idx="6">
                  <c:v>9.0</c:v>
                </c:pt>
                <c:pt idx="7">
                  <c:v>8.0</c:v>
                </c:pt>
                <c:pt idx="8">
                  <c:v>13.0</c:v>
                </c:pt>
                <c:pt idx="9">
                  <c:v>4.0</c:v>
                </c:pt>
                <c:pt idx="10">
                  <c:v>12.0</c:v>
                </c:pt>
                <c:pt idx="11">
                  <c:v>16.0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94261296"/>
        <c:axId val="394259336"/>
      </c:lineChart>
      <c:catAx>
        <c:axId val="394261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94259336"/>
        <c:crosses val="autoZero"/>
        <c:auto val="1"/>
        <c:lblAlgn val="ctr"/>
        <c:lblOffset val="100"/>
        <c:noMultiLvlLbl val="0"/>
      </c:catAx>
      <c:valAx>
        <c:axId val="394259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94261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Evolution par mois du nombre de patients reçus en kiné au CHRM en 2025</a:t>
            </a:r>
          </a:p>
        </c:rich>
      </c:tx>
      <c:layout>
        <c:manualLayout>
          <c:xMode val="edge"/>
          <c:yMode val="edge"/>
          <c:x val="0.10802077865266842"/>
          <c:y val="0.00462962962962962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'2025'!$C$18:$N$18</c:f>
              <c:strCache>
                <c:ptCount val="12"/>
                <c:pt idx="0">
                  <c:v>Jan</c:v>
                </c:pt>
                <c:pt idx="1">
                  <c:v>Fév</c:v>
                </c:pt>
                <c:pt idx="2">
                  <c:v>Mar</c:v>
                </c:pt>
                <c:pt idx="3">
                  <c:v>Avril</c:v>
                </c:pt>
                <c:pt idx="4">
                  <c:v>Mai</c:v>
                </c:pt>
                <c:pt idx="5">
                  <c:v>Juin</c:v>
                </c:pt>
                <c:pt idx="6">
                  <c:v>Juillet</c:v>
                </c:pt>
                <c:pt idx="7">
                  <c:v>Aoû</c:v>
                </c:pt>
                <c:pt idx="8">
                  <c:v>Sep</c:v>
                </c:pt>
                <c:pt idx="9">
                  <c:v>Oct</c:v>
                </c:pt>
                <c:pt idx="10">
                  <c:v>Nov</c:v>
                </c:pt>
                <c:pt idx="11">
                  <c:v>Déc</c:v>
                </c:pt>
              </c:strCache>
            </c:strRef>
          </c:cat>
          <c:val>
            <c:numRef>
              <c:f>'2025'!$C$19:$N$19</c:f>
              <c:numCache>
                <c:formatCode>General</c:formatCode>
                <c:ptCount val="12"/>
                <c:pt idx="0">
                  <c:v>14.0</c:v>
                </c:pt>
                <c:pt idx="1">
                  <c:v>11.0</c:v>
                </c:pt>
                <c:pt idx="2">
                  <c:v>11.0</c:v>
                </c:pt>
                <c:pt idx="3">
                  <c:v>14.0</c:v>
                </c:pt>
                <c:pt idx="4">
                  <c:v>14.0</c:v>
                </c:pt>
                <c:pt idx="5">
                  <c:v>16.0</c:v>
                </c:pt>
                <c:pt idx="6">
                  <c:v>15.0</c:v>
                </c:pt>
                <c:pt idx="7">
                  <c:v>20.0</c:v>
                </c:pt>
                <c:pt idx="8">
                  <c:v>16.0</c:v>
                </c:pt>
                <c:pt idx="9">
                  <c:v>16.0</c:v>
                </c:pt>
                <c:pt idx="10">
                  <c:v>19.0</c:v>
                </c:pt>
                <c:pt idx="11">
                  <c:v>23.0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35341680"/>
        <c:axId val="635342464"/>
      </c:lineChart>
      <c:catAx>
        <c:axId val="635341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35342464"/>
        <c:crosses val="autoZero"/>
        <c:auto val="1"/>
        <c:lblAlgn val="ctr"/>
        <c:lblOffset val="100"/>
        <c:noMultiLvlLbl val="0"/>
      </c:catAx>
      <c:valAx>
        <c:axId val="635342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35341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 b="1"/>
              <a:t>Nouvelles consultations en 2025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'Nouvelles CONSULTATIONS'!$B$12:$M$12</c:f>
              <c:strCache>
                <c:ptCount val="12"/>
                <c:pt idx="0">
                  <c:v>Janv</c:v>
                </c:pt>
                <c:pt idx="1">
                  <c:v>Fév</c:v>
                </c:pt>
                <c:pt idx="2">
                  <c:v>Mars</c:v>
                </c:pt>
                <c:pt idx="3">
                  <c:v>Avril</c:v>
                </c:pt>
                <c:pt idx="4">
                  <c:v>Mai</c:v>
                </c:pt>
                <c:pt idx="5">
                  <c:v>Juin</c:v>
                </c:pt>
                <c:pt idx="6">
                  <c:v>Juil</c:v>
                </c:pt>
                <c:pt idx="7">
                  <c:v>Août</c:v>
                </c:pt>
                <c:pt idx="8">
                  <c:v>Sept</c:v>
                </c:pt>
                <c:pt idx="9">
                  <c:v>Oct</c:v>
                </c:pt>
                <c:pt idx="10">
                  <c:v>Nov</c:v>
                </c:pt>
                <c:pt idx="11">
                  <c:v>Déc</c:v>
                </c:pt>
              </c:strCache>
            </c:strRef>
          </c:cat>
          <c:val>
            <c:numRef>
              <c:f>'Nouvelles CONSULTATIONS'!$B$13:$M$13</c:f>
              <c:numCache>
                <c:formatCode>General</c:formatCode>
                <c:ptCount val="12"/>
                <c:pt idx="0">
                  <c:v>322.0</c:v>
                </c:pt>
                <c:pt idx="1">
                  <c:v>331.0</c:v>
                </c:pt>
                <c:pt idx="2">
                  <c:v>336.0</c:v>
                </c:pt>
                <c:pt idx="3">
                  <c:v>527.0</c:v>
                </c:pt>
                <c:pt idx="4">
                  <c:v>515.0</c:v>
                </c:pt>
                <c:pt idx="5">
                  <c:v>421.0</c:v>
                </c:pt>
                <c:pt idx="6">
                  <c:v>573.0</c:v>
                </c:pt>
                <c:pt idx="7">
                  <c:v>607.0</c:v>
                </c:pt>
                <c:pt idx="8">
                  <c:v>712.0</c:v>
                </c:pt>
                <c:pt idx="9">
                  <c:v>554.0</c:v>
                </c:pt>
                <c:pt idx="10">
                  <c:v>526.0</c:v>
                </c:pt>
                <c:pt idx="11">
                  <c:v>637.0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35340896"/>
        <c:axId val="635342856"/>
      </c:lineChart>
      <c:catAx>
        <c:axId val="635340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35342856"/>
        <c:crosses val="autoZero"/>
        <c:auto val="1"/>
        <c:lblAlgn val="ctr"/>
        <c:lblOffset val="100"/>
        <c:noMultiLvlLbl val="0"/>
      </c:catAx>
      <c:valAx>
        <c:axId val="635342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353408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'Activités Bloc Opératoire'!$C$38:$N$38</c:f>
              <c:strCache>
                <c:ptCount val="12"/>
                <c:pt idx="0">
                  <c:v>Janv</c:v>
                </c:pt>
                <c:pt idx="1">
                  <c:v>Fév</c:v>
                </c:pt>
                <c:pt idx="2">
                  <c:v>Mars</c:v>
                </c:pt>
                <c:pt idx="3">
                  <c:v>Avril</c:v>
                </c:pt>
                <c:pt idx="4">
                  <c:v>Mai</c:v>
                </c:pt>
                <c:pt idx="5">
                  <c:v>Juin</c:v>
                </c:pt>
                <c:pt idx="6">
                  <c:v>Juil</c:v>
                </c:pt>
                <c:pt idx="7">
                  <c:v>Août</c:v>
                </c:pt>
                <c:pt idx="8">
                  <c:v>Sept</c:v>
                </c:pt>
                <c:pt idx="9">
                  <c:v>Oct</c:v>
                </c:pt>
                <c:pt idx="10">
                  <c:v>Nov</c:v>
                </c:pt>
                <c:pt idx="11">
                  <c:v>Déc</c:v>
                </c:pt>
              </c:strCache>
            </c:strRef>
          </c:cat>
          <c:val>
            <c:numRef>
              <c:f>'Activités Bloc Opératoire'!$C$39:$N$39</c:f>
              <c:numCache>
                <c:formatCode>General</c:formatCode>
                <c:ptCount val="12"/>
                <c:pt idx="0">
                  <c:v>49.0</c:v>
                </c:pt>
                <c:pt idx="1">
                  <c:v>47.0</c:v>
                </c:pt>
                <c:pt idx="2">
                  <c:v>32.0</c:v>
                </c:pt>
                <c:pt idx="3">
                  <c:v>52.0</c:v>
                </c:pt>
                <c:pt idx="4">
                  <c:v>26.0</c:v>
                </c:pt>
                <c:pt idx="5">
                  <c:v>18.0</c:v>
                </c:pt>
                <c:pt idx="6">
                  <c:v>38.0</c:v>
                </c:pt>
                <c:pt idx="7">
                  <c:v>34.0</c:v>
                </c:pt>
                <c:pt idx="8">
                  <c:v>44.0</c:v>
                </c:pt>
                <c:pt idx="9">
                  <c:v>28.0</c:v>
                </c:pt>
                <c:pt idx="10">
                  <c:v>26.0</c:v>
                </c:pt>
                <c:pt idx="11">
                  <c:v>38.0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73275592"/>
        <c:axId val="573274416"/>
      </c:lineChart>
      <c:catAx>
        <c:axId val="573275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73274416"/>
        <c:crosses val="autoZero"/>
        <c:auto val="1"/>
        <c:lblAlgn val="ctr"/>
        <c:lblOffset val="100"/>
        <c:noMultiLvlLbl val="0"/>
      </c:catAx>
      <c:valAx>
        <c:axId val="573274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73275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CM"/>
              <a:t>Evolution des examens d'imagerie médicale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IMAGERIE!$B$15:$M$15</c:f>
              <c:strCache>
                <c:ptCount val="12"/>
                <c:pt idx="0">
                  <c:v>Jan</c:v>
                </c:pt>
                <c:pt idx="1">
                  <c:v>Fév</c:v>
                </c:pt>
                <c:pt idx="2">
                  <c:v>Mars</c:v>
                </c:pt>
                <c:pt idx="3">
                  <c:v>Avril</c:v>
                </c:pt>
                <c:pt idx="4">
                  <c:v>Mai</c:v>
                </c:pt>
                <c:pt idx="5">
                  <c:v>Juin</c:v>
                </c:pt>
                <c:pt idx="6">
                  <c:v>Juil</c:v>
                </c:pt>
                <c:pt idx="7">
                  <c:v>Août</c:v>
                </c:pt>
                <c:pt idx="8">
                  <c:v>Sept</c:v>
                </c:pt>
                <c:pt idx="9">
                  <c:v>Oct</c:v>
                </c:pt>
                <c:pt idx="10">
                  <c:v>Nov</c:v>
                </c:pt>
                <c:pt idx="11">
                  <c:v>Déc</c:v>
                </c:pt>
              </c:strCache>
            </c:strRef>
          </c:cat>
          <c:val>
            <c:numRef>
              <c:f>IMAGERIE!$B$16:$M$16</c:f>
              <c:numCache>
                <c:formatCode>General</c:formatCode>
                <c:ptCount val="12"/>
                <c:pt idx="0">
                  <c:v>262.0</c:v>
                </c:pt>
                <c:pt idx="1">
                  <c:v>209.0</c:v>
                </c:pt>
                <c:pt idx="2">
                  <c:v>252.0</c:v>
                </c:pt>
                <c:pt idx="3">
                  <c:v>343.0</c:v>
                </c:pt>
                <c:pt idx="4">
                  <c:v>509.0</c:v>
                </c:pt>
                <c:pt idx="5">
                  <c:v>320.0</c:v>
                </c:pt>
                <c:pt idx="6">
                  <c:v>490.0</c:v>
                </c:pt>
                <c:pt idx="7">
                  <c:v>385.0</c:v>
                </c:pt>
                <c:pt idx="8">
                  <c:v>366.0</c:v>
                </c:pt>
                <c:pt idx="9">
                  <c:v>455.0</c:v>
                </c:pt>
                <c:pt idx="10">
                  <c:v>247.0</c:v>
                </c:pt>
                <c:pt idx="11">
                  <c:v>290.0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92893232"/>
        <c:axId val="492890488"/>
      </c:lineChart>
      <c:catAx>
        <c:axId val="492893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92890488"/>
        <c:crosses val="autoZero"/>
        <c:auto val="1"/>
        <c:lblAlgn val="ctr"/>
        <c:lblOffset val="100"/>
        <c:noMultiLvlLbl val="0"/>
      </c:catAx>
      <c:valAx>
        <c:axId val="492890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928932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050" b="1"/>
              <a:t>Graphique </a:t>
            </a:r>
            <a:r>
              <a:rPr lang="en-US" sz="1050" b="1" baseline="0"/>
              <a:t>2: </a:t>
            </a:r>
            <a:r>
              <a:rPr lang="en-US" sz="1050" b="0" baseline="0"/>
              <a:t>distribution  des activités des différentes paillasses au labo du CHRM en 2025</a:t>
            </a:r>
            <a:endParaRPr lang="en-US" sz="1050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LABORATOIRE!$B$228</c:f>
              <c:strCache>
                <c:ptCount val="1"/>
                <c:pt idx="0">
                  <c:v>TOTAL EXAMENS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LABORATOIRE!$A$229:$A$234</c:f>
              <c:strCache>
                <c:ptCount val="6"/>
                <c:pt idx="0">
                  <c:v>BACTERIOLOGIE</c:v>
                </c:pt>
                <c:pt idx="1">
                  <c:v>BIOCHIMIE</c:v>
                </c:pt>
                <c:pt idx="2">
                  <c:v>HEMATOLOGIE</c:v>
                </c:pt>
                <c:pt idx="3">
                  <c:v>PARASITOLOGIE</c:v>
                </c:pt>
                <c:pt idx="4">
                  <c:v>SEROLOGIE</c:v>
                </c:pt>
                <c:pt idx="5">
                  <c:v>LABO URGENCES</c:v>
                </c:pt>
              </c:strCache>
            </c:strRef>
          </c:cat>
          <c:val>
            <c:numRef>
              <c:f>LABORATOIRE!$B$229:$B$234</c:f>
              <c:numCache>
                <c:formatCode>_-* #,##0\ _F_C_F_A_-;\-* #,##0\ _F_C_F_A_-;_-* "-"\ _F_C_F_A_-;_-@_-</c:formatCode>
                <c:ptCount val="6"/>
                <c:pt idx="0">
                  <c:v>1070.0</c:v>
                </c:pt>
                <c:pt idx="1">
                  <c:v>4568.0</c:v>
                </c:pt>
                <c:pt idx="2">
                  <c:v>2943.0</c:v>
                </c:pt>
                <c:pt idx="3">
                  <c:v>430.0</c:v>
                </c:pt>
                <c:pt idx="4">
                  <c:v>2179.0</c:v>
                </c:pt>
                <c:pt idx="5">
                  <c:v>2021.0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91698920"/>
        <c:axId val="491698136"/>
      </c:barChart>
      <c:catAx>
        <c:axId val="491698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91698136"/>
        <c:crosses val="autoZero"/>
        <c:auto val="1"/>
        <c:lblAlgn val="ctr"/>
        <c:lblOffset val="100"/>
        <c:noMultiLvlLbl val="0"/>
      </c:catAx>
      <c:valAx>
        <c:axId val="491698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\ _F_C_F_A_-;\-* #,##0\ _F_C_F_A_-;_-* &quot;-&quot;\ _F_C_F_A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4916989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LABORATOIRE!$A$252:$L$252</c:f>
              <c:strCache>
                <c:ptCount val="12"/>
                <c:pt idx="0">
                  <c:v>Janv</c:v>
                </c:pt>
                <c:pt idx="1">
                  <c:v>Fév</c:v>
                </c:pt>
                <c:pt idx="2">
                  <c:v>Mars</c:v>
                </c:pt>
                <c:pt idx="3">
                  <c:v>Avril</c:v>
                </c:pt>
                <c:pt idx="4">
                  <c:v>Mai</c:v>
                </c:pt>
                <c:pt idx="5">
                  <c:v>Juin</c:v>
                </c:pt>
                <c:pt idx="6">
                  <c:v>Juillet</c:v>
                </c:pt>
                <c:pt idx="7">
                  <c:v>Août</c:v>
                </c:pt>
                <c:pt idx="8">
                  <c:v>Sept</c:v>
                </c:pt>
                <c:pt idx="9">
                  <c:v>Oct</c:v>
                </c:pt>
                <c:pt idx="10">
                  <c:v>Nov</c:v>
                </c:pt>
                <c:pt idx="11">
                  <c:v>Déc</c:v>
                </c:pt>
              </c:strCache>
            </c:strRef>
          </c:cat>
          <c:val>
            <c:numRef>
              <c:f>LABORATOIRE!$A$253:$L$253</c:f>
              <c:numCache>
                <c:formatCode>General</c:formatCode>
                <c:ptCount val="12"/>
                <c:pt idx="0">
                  <c:v>989.0</c:v>
                </c:pt>
                <c:pt idx="1">
                  <c:v>777.0</c:v>
                </c:pt>
                <c:pt idx="2">
                  <c:v>705.0</c:v>
                </c:pt>
                <c:pt idx="3">
                  <c:v>947.0</c:v>
                </c:pt>
                <c:pt idx="4">
                  <c:v>915.0</c:v>
                </c:pt>
                <c:pt idx="5">
                  <c:v>712.0</c:v>
                </c:pt>
                <c:pt idx="6">
                  <c:v>1130.0</c:v>
                </c:pt>
                <c:pt idx="7">
                  <c:v>1183.0</c:v>
                </c:pt>
                <c:pt idx="8">
                  <c:v>1095.0</c:v>
                </c:pt>
                <c:pt idx="9">
                  <c:v>1151.0</c:v>
                </c:pt>
                <c:pt idx="10">
                  <c:v>1166.0</c:v>
                </c:pt>
                <c:pt idx="11">
                  <c:v>1379.0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73101792"/>
        <c:axId val="662161024"/>
      </c:lineChart>
      <c:catAx>
        <c:axId val="573101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62161024"/>
        <c:crosses val="autoZero"/>
        <c:auto val="1"/>
        <c:lblAlgn val="ctr"/>
        <c:lblOffset val="100"/>
        <c:noMultiLvlLbl val="0"/>
      </c:catAx>
      <c:valAx>
        <c:axId val="662161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731017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D9040-25D9-41A4-B135-B32EC5922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7529</Words>
  <Pages>1</Pages>
  <Characters>31373</Characters>
  <Application>WPS Office</Application>
  <DocSecurity>0</DocSecurity>
  <Paragraphs>4420</Paragraphs>
  <ScaleCrop>false</ScaleCrop>
  <LinksUpToDate>false</LinksUpToDate>
  <CharactersWithSpaces>35935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2026-06-17T19:09:17Z</dcterms:created>
  <dc:creator>HP</dc:creator>
  <lastModifiedBy>TECNO BF6</lastModifiedBy>
  <lastPrinted>2026-04-02T13:46:00Z</lastPrinted>
  <dcterms:modified xsi:type="dcterms:W3CDTF">2026-06-17T19:10:59Z</dcterms:modified>
  <revision>72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f13cab5767fd4e8cb120a90a6cf92802</vt:lpwstr>
  </property>
</Properties>
</file>